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4D7" w:rsidRDefault="00ED1067">
      <w:pPr>
        <w:jc w:val="center"/>
        <w:rPr>
          <w:rFonts w:asciiTheme="minorEastAsia" w:hAnsiTheme="minorEastAsia" w:hint="eastAsia"/>
          <w:b/>
          <w:sz w:val="36"/>
          <w:szCs w:val="32"/>
        </w:rPr>
      </w:pPr>
      <w:bookmarkStart w:id="0" w:name="_Toc45209486"/>
      <w:bookmarkStart w:id="1" w:name="_Toc75250902"/>
      <w:r>
        <w:rPr>
          <w:rFonts w:asciiTheme="minorEastAsia" w:hAnsiTheme="minorEastAsia" w:hint="eastAsia"/>
          <w:b/>
          <w:sz w:val="36"/>
          <w:szCs w:val="32"/>
        </w:rPr>
        <w:t>新余市珠</w:t>
      </w:r>
      <w:proofErr w:type="gramStart"/>
      <w:r>
        <w:rPr>
          <w:rFonts w:asciiTheme="minorEastAsia" w:hAnsiTheme="minorEastAsia" w:hint="eastAsia"/>
          <w:b/>
          <w:sz w:val="36"/>
          <w:szCs w:val="32"/>
        </w:rPr>
        <w:t>珊</w:t>
      </w:r>
      <w:proofErr w:type="gramEnd"/>
      <w:r>
        <w:rPr>
          <w:rFonts w:asciiTheme="minorEastAsia" w:hAnsiTheme="minorEastAsia" w:hint="eastAsia"/>
          <w:b/>
          <w:sz w:val="36"/>
          <w:szCs w:val="32"/>
        </w:rPr>
        <w:t>镇控</w:t>
      </w:r>
      <w:bookmarkStart w:id="2" w:name="_GoBack"/>
      <w:bookmarkEnd w:id="2"/>
      <w:r>
        <w:rPr>
          <w:rFonts w:asciiTheme="minorEastAsia" w:hAnsiTheme="minorEastAsia" w:hint="eastAsia"/>
          <w:b/>
          <w:sz w:val="36"/>
          <w:szCs w:val="32"/>
        </w:rPr>
        <w:t>制性详细规划A-4-1/2地块</w:t>
      </w:r>
    </w:p>
    <w:p w:rsidR="002E737E" w:rsidRDefault="00ED1067">
      <w:pPr>
        <w:jc w:val="center"/>
        <w:rPr>
          <w:rFonts w:asciiTheme="minorEastAsia" w:hAnsiTheme="minorEastAsia"/>
          <w:b/>
          <w:sz w:val="32"/>
          <w:szCs w:val="30"/>
        </w:rPr>
      </w:pPr>
      <w:r>
        <w:rPr>
          <w:rFonts w:asciiTheme="minorEastAsia" w:hAnsiTheme="minorEastAsia" w:hint="eastAsia"/>
          <w:b/>
          <w:sz w:val="36"/>
          <w:szCs w:val="32"/>
        </w:rPr>
        <w:t>规划图则调整简介</w:t>
      </w:r>
    </w:p>
    <w:p w:rsidR="002E737E" w:rsidRDefault="00ED1067">
      <w:pPr>
        <w:pStyle w:val="a5"/>
        <w:numPr>
          <w:ilvl w:val="0"/>
          <w:numId w:val="1"/>
        </w:numPr>
        <w:jc w:val="left"/>
        <w:rPr>
          <w:color w:val="000000" w:themeColor="text1"/>
          <w:sz w:val="30"/>
          <w:szCs w:val="30"/>
        </w:rPr>
      </w:pPr>
      <w:r>
        <w:rPr>
          <w:rFonts w:hint="eastAsia"/>
          <w:color w:val="000000" w:themeColor="text1"/>
          <w:sz w:val="30"/>
          <w:szCs w:val="30"/>
        </w:rPr>
        <w:t>项目区位</w:t>
      </w:r>
      <w:bookmarkEnd w:id="0"/>
      <w:bookmarkEnd w:id="1"/>
    </w:p>
    <w:p w:rsidR="002E737E" w:rsidRDefault="00ED1067">
      <w:pPr>
        <w:ind w:firstLineChars="200" w:firstLine="560"/>
        <w:rPr>
          <w:rFonts w:asciiTheme="minorEastAsia" w:hAnsiTheme="minorEastAsia" w:cs="Arial"/>
          <w:sz w:val="28"/>
          <w:szCs w:val="21"/>
          <w:shd w:val="clear" w:color="auto" w:fill="FFFFFF"/>
        </w:rPr>
      </w:pPr>
      <w:r>
        <w:rPr>
          <w:rFonts w:asciiTheme="minorEastAsia" w:hAnsiTheme="minorEastAsia" w:cs="Arial" w:hint="eastAsia"/>
          <w:color w:val="000000" w:themeColor="text1"/>
          <w:sz w:val="28"/>
          <w:szCs w:val="21"/>
          <w:shd w:val="clear" w:color="auto" w:fill="FFFFFF"/>
        </w:rPr>
        <w:t>本次调整</w:t>
      </w:r>
      <w:r>
        <w:rPr>
          <w:rFonts w:asciiTheme="minorEastAsia" w:hAnsiTheme="minorEastAsia" w:cs="Arial"/>
          <w:color w:val="000000" w:themeColor="text1"/>
          <w:sz w:val="28"/>
          <w:szCs w:val="21"/>
          <w:shd w:val="clear" w:color="auto" w:fill="FFFFFF"/>
        </w:rPr>
        <w:t>地块位于</w:t>
      </w:r>
      <w:r>
        <w:rPr>
          <w:rFonts w:asciiTheme="minorEastAsia" w:hAnsiTheme="minorEastAsia" w:cs="Arial" w:hint="eastAsia"/>
          <w:color w:val="000000" w:themeColor="text1"/>
          <w:sz w:val="28"/>
          <w:szCs w:val="21"/>
          <w:shd w:val="clear" w:color="auto" w:fill="FFFFFF"/>
        </w:rPr>
        <w:t>《新余市珠珊镇控制性详细规划》的A-4单元内，涉及2个地块，</w:t>
      </w:r>
      <w:r>
        <w:rPr>
          <w:rFonts w:asciiTheme="minorEastAsia" w:hAnsiTheme="minorEastAsia" w:cs="Arial"/>
          <w:color w:val="000000" w:themeColor="text1"/>
          <w:sz w:val="28"/>
          <w:szCs w:val="21"/>
          <w:shd w:val="clear" w:color="auto" w:fill="FFFFFF"/>
        </w:rPr>
        <w:t>地块编码</w:t>
      </w:r>
      <w:r>
        <w:rPr>
          <w:rFonts w:asciiTheme="minorEastAsia" w:hAnsiTheme="minorEastAsia" w:cs="Arial" w:hint="eastAsia"/>
          <w:color w:val="000000" w:themeColor="text1"/>
          <w:sz w:val="28"/>
          <w:szCs w:val="21"/>
          <w:shd w:val="clear" w:color="auto" w:fill="FFFFFF"/>
        </w:rPr>
        <w:t>为A-4-1/2，调整范围面积合计2.90hm</w:t>
      </w:r>
      <w:r>
        <w:rPr>
          <w:rFonts w:asciiTheme="minorEastAsia" w:hAnsiTheme="minorEastAsia" w:cs="Arial" w:hint="eastAsia"/>
          <w:color w:val="000000" w:themeColor="text1"/>
          <w:sz w:val="28"/>
          <w:szCs w:val="21"/>
          <w:shd w:val="clear" w:color="auto" w:fill="FFFFFF"/>
          <w:vertAlign w:val="superscript"/>
        </w:rPr>
        <w:t>2</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sz w:val="28"/>
          <w:szCs w:val="21"/>
          <w:shd w:val="clear" w:color="auto" w:fill="FFFFFF"/>
        </w:rPr>
        <w:t>北侧为西岸路，东侧为吉新公路，南侧为明月路，西侧为西华路。</w:t>
      </w:r>
    </w:p>
    <w:p w:rsidR="002E737E" w:rsidRDefault="00ED1067">
      <w:pPr>
        <w:pStyle w:val="a5"/>
        <w:numPr>
          <w:ilvl w:val="0"/>
          <w:numId w:val="1"/>
        </w:numPr>
        <w:jc w:val="left"/>
        <w:rPr>
          <w:color w:val="000000" w:themeColor="text1"/>
          <w:sz w:val="30"/>
          <w:szCs w:val="30"/>
        </w:rPr>
      </w:pPr>
      <w:r>
        <w:rPr>
          <w:rFonts w:hint="eastAsia"/>
          <w:color w:val="000000" w:themeColor="text1"/>
          <w:sz w:val="30"/>
          <w:szCs w:val="30"/>
        </w:rPr>
        <w:t>原控</w:t>
      </w:r>
      <w:proofErr w:type="gramStart"/>
      <w:r>
        <w:rPr>
          <w:rFonts w:hint="eastAsia"/>
          <w:color w:val="000000" w:themeColor="text1"/>
          <w:sz w:val="30"/>
          <w:szCs w:val="30"/>
        </w:rPr>
        <w:t>规</w:t>
      </w:r>
      <w:proofErr w:type="gramEnd"/>
      <w:r>
        <w:rPr>
          <w:rFonts w:hint="eastAsia"/>
          <w:color w:val="000000" w:themeColor="text1"/>
          <w:sz w:val="30"/>
          <w:szCs w:val="30"/>
        </w:rPr>
        <w:t>要求：</w:t>
      </w:r>
    </w:p>
    <w:p w:rsidR="002E737E" w:rsidRDefault="00ED1067">
      <w:pPr>
        <w:ind w:firstLineChars="200" w:firstLine="560"/>
        <w:jc w:val="left"/>
        <w:rPr>
          <w:rFonts w:asciiTheme="minorEastAsia" w:hAnsiTheme="minorEastAsia" w:cs="Arial"/>
          <w:color w:val="000000" w:themeColor="text1"/>
          <w:sz w:val="28"/>
          <w:szCs w:val="21"/>
          <w:shd w:val="clear" w:color="auto" w:fill="FFFFFF"/>
        </w:rPr>
      </w:pPr>
      <w:r>
        <w:rPr>
          <w:rFonts w:asciiTheme="minorEastAsia" w:hAnsiTheme="minorEastAsia" w:cs="Arial" w:hint="eastAsia"/>
          <w:color w:val="000000" w:themeColor="text1"/>
          <w:sz w:val="28"/>
          <w:szCs w:val="21"/>
          <w:shd w:val="clear" w:color="auto" w:fill="FFFFFF"/>
        </w:rPr>
        <w:t>《新余市珠珊镇控制性详细规划》确定A-4-1/2地块指标如下：</w:t>
      </w:r>
    </w:p>
    <w:p w:rsidR="002E737E" w:rsidRDefault="00ED1067">
      <w:pPr>
        <w:ind w:firstLineChars="200" w:firstLine="560"/>
        <w:jc w:val="left"/>
        <w:rPr>
          <w:rFonts w:asciiTheme="minorEastAsia" w:hAnsiTheme="minorEastAsia" w:cs="Arial"/>
          <w:color w:val="000000" w:themeColor="text1"/>
          <w:sz w:val="28"/>
          <w:szCs w:val="21"/>
          <w:shd w:val="clear" w:color="auto" w:fill="FFFFFF"/>
        </w:rPr>
      </w:pPr>
      <w:r>
        <w:rPr>
          <w:rFonts w:asciiTheme="minorEastAsia" w:hAnsiTheme="minorEastAsia" w:cs="Arial" w:hint="eastAsia"/>
          <w:color w:val="000000" w:themeColor="text1"/>
          <w:sz w:val="28"/>
          <w:szCs w:val="21"/>
          <w:shd w:val="clear" w:color="auto" w:fill="FFFFFF"/>
        </w:rPr>
        <w:t>A-4-1地块用地性质为二类居住用地</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R2</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w:t>
      </w:r>
      <w:r>
        <w:rPr>
          <w:rFonts w:asciiTheme="minorEastAsia" w:hAnsiTheme="minorEastAsia" w:cs="Arial"/>
          <w:color w:val="000000" w:themeColor="text1"/>
          <w:sz w:val="28"/>
          <w:szCs w:val="21"/>
          <w:shd w:val="clear" w:color="auto" w:fill="FFFFFF"/>
        </w:rPr>
        <w:t>用地面积为</w:t>
      </w:r>
      <w:r>
        <w:rPr>
          <w:rFonts w:asciiTheme="minorEastAsia" w:hAnsiTheme="minorEastAsia" w:cs="Arial" w:hint="eastAsia"/>
          <w:color w:val="000000" w:themeColor="text1"/>
          <w:sz w:val="28"/>
          <w:szCs w:val="21"/>
          <w:shd w:val="clear" w:color="auto" w:fill="FFFFFF"/>
        </w:rPr>
        <w:t>1.42hm</w:t>
      </w:r>
      <w:r>
        <w:rPr>
          <w:rFonts w:asciiTheme="minorEastAsia" w:hAnsiTheme="minorEastAsia" w:cs="Arial" w:hint="eastAsia"/>
          <w:color w:val="000000" w:themeColor="text1"/>
          <w:sz w:val="28"/>
          <w:szCs w:val="21"/>
          <w:shd w:val="clear" w:color="auto" w:fill="FFFFFF"/>
          <w:vertAlign w:val="superscript"/>
        </w:rPr>
        <w:t>2</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主要</w:t>
      </w:r>
      <w:r>
        <w:rPr>
          <w:rFonts w:asciiTheme="minorEastAsia" w:hAnsiTheme="minorEastAsia" w:cs="Arial"/>
          <w:color w:val="000000" w:themeColor="text1"/>
          <w:sz w:val="28"/>
          <w:szCs w:val="21"/>
          <w:shd w:val="clear" w:color="auto" w:fill="FFFFFF"/>
        </w:rPr>
        <w:t>控制指标为：容积率</w:t>
      </w:r>
      <w:r>
        <w:rPr>
          <w:rFonts w:asciiTheme="minorEastAsia" w:hAnsiTheme="minorEastAsia" w:cs="Arial" w:hint="eastAsia"/>
          <w:color w:val="000000" w:themeColor="text1"/>
          <w:sz w:val="28"/>
          <w:szCs w:val="21"/>
          <w:shd w:val="clear" w:color="auto" w:fill="FFFFFF"/>
        </w:rPr>
        <w:t>≤1.8、</w:t>
      </w:r>
      <w:r>
        <w:rPr>
          <w:rFonts w:asciiTheme="minorEastAsia" w:hAnsiTheme="minorEastAsia" w:cs="Arial"/>
          <w:color w:val="000000" w:themeColor="text1"/>
          <w:sz w:val="28"/>
          <w:szCs w:val="21"/>
          <w:shd w:val="clear" w:color="auto" w:fill="FFFFFF"/>
        </w:rPr>
        <w:t>建筑密度</w:t>
      </w:r>
      <w:r>
        <w:rPr>
          <w:rFonts w:asciiTheme="minorEastAsia" w:hAnsiTheme="minorEastAsia" w:cs="Arial" w:hint="eastAsia"/>
          <w:color w:val="000000" w:themeColor="text1"/>
          <w:sz w:val="28"/>
          <w:szCs w:val="21"/>
          <w:shd w:val="clear" w:color="auto" w:fill="FFFFFF"/>
        </w:rPr>
        <w:t>≤28</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、绿地率≥32</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建筑</w:t>
      </w:r>
      <w:r>
        <w:rPr>
          <w:rFonts w:asciiTheme="minorEastAsia" w:hAnsiTheme="minorEastAsia" w:cs="Arial"/>
          <w:color w:val="000000" w:themeColor="text1"/>
          <w:sz w:val="28"/>
          <w:szCs w:val="21"/>
          <w:shd w:val="clear" w:color="auto" w:fill="FFFFFF"/>
        </w:rPr>
        <w:t>限高为</w:t>
      </w:r>
      <w:r>
        <w:rPr>
          <w:rFonts w:asciiTheme="minorEastAsia" w:hAnsiTheme="minorEastAsia" w:cs="Arial" w:hint="eastAsia"/>
          <w:color w:val="000000" w:themeColor="text1"/>
          <w:sz w:val="28"/>
          <w:szCs w:val="21"/>
          <w:shd w:val="clear" w:color="auto" w:fill="FFFFFF"/>
        </w:rPr>
        <w:t>40米；</w:t>
      </w:r>
    </w:p>
    <w:p w:rsidR="002E737E" w:rsidRDefault="00ED1067">
      <w:pPr>
        <w:ind w:firstLineChars="200" w:firstLine="560"/>
        <w:jc w:val="left"/>
      </w:pPr>
      <w:r>
        <w:rPr>
          <w:rFonts w:asciiTheme="minorEastAsia" w:hAnsiTheme="minorEastAsia" w:cs="Arial" w:hint="eastAsia"/>
          <w:color w:val="000000" w:themeColor="text1"/>
          <w:sz w:val="28"/>
          <w:szCs w:val="21"/>
          <w:shd w:val="clear" w:color="auto" w:fill="FFFFFF"/>
        </w:rPr>
        <w:t>A-4-2地块用地性质为二类居住用地</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R2</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w:t>
      </w:r>
      <w:r>
        <w:rPr>
          <w:rFonts w:asciiTheme="minorEastAsia" w:hAnsiTheme="minorEastAsia" w:cs="Arial"/>
          <w:color w:val="000000" w:themeColor="text1"/>
          <w:sz w:val="28"/>
          <w:szCs w:val="21"/>
          <w:shd w:val="clear" w:color="auto" w:fill="FFFFFF"/>
        </w:rPr>
        <w:t>用地面积为</w:t>
      </w:r>
      <w:r>
        <w:rPr>
          <w:rFonts w:asciiTheme="minorEastAsia" w:hAnsiTheme="minorEastAsia" w:cs="Arial" w:hint="eastAsia"/>
          <w:color w:val="000000" w:themeColor="text1"/>
          <w:sz w:val="28"/>
          <w:szCs w:val="21"/>
          <w:shd w:val="clear" w:color="auto" w:fill="FFFFFF"/>
        </w:rPr>
        <w:t>1.48hm</w:t>
      </w:r>
      <w:r>
        <w:rPr>
          <w:rFonts w:asciiTheme="minorEastAsia" w:hAnsiTheme="minorEastAsia" w:cs="Arial" w:hint="eastAsia"/>
          <w:color w:val="000000" w:themeColor="text1"/>
          <w:sz w:val="28"/>
          <w:szCs w:val="21"/>
          <w:shd w:val="clear" w:color="auto" w:fill="FFFFFF"/>
          <w:vertAlign w:val="superscript"/>
        </w:rPr>
        <w:t>2</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主要</w:t>
      </w:r>
      <w:r>
        <w:rPr>
          <w:rFonts w:asciiTheme="minorEastAsia" w:hAnsiTheme="minorEastAsia" w:cs="Arial"/>
          <w:color w:val="000000" w:themeColor="text1"/>
          <w:sz w:val="28"/>
          <w:szCs w:val="21"/>
          <w:shd w:val="clear" w:color="auto" w:fill="FFFFFF"/>
        </w:rPr>
        <w:t>控制指标为：容积率</w:t>
      </w:r>
      <w:r>
        <w:rPr>
          <w:rFonts w:asciiTheme="minorEastAsia" w:hAnsiTheme="minorEastAsia" w:cs="Arial" w:hint="eastAsia"/>
          <w:color w:val="000000" w:themeColor="text1"/>
          <w:sz w:val="28"/>
          <w:szCs w:val="21"/>
          <w:shd w:val="clear" w:color="auto" w:fill="FFFFFF"/>
        </w:rPr>
        <w:t>≤1.8、</w:t>
      </w:r>
      <w:r>
        <w:rPr>
          <w:rFonts w:asciiTheme="minorEastAsia" w:hAnsiTheme="minorEastAsia" w:cs="Arial"/>
          <w:color w:val="000000" w:themeColor="text1"/>
          <w:sz w:val="28"/>
          <w:szCs w:val="21"/>
          <w:shd w:val="clear" w:color="auto" w:fill="FFFFFF"/>
        </w:rPr>
        <w:t>建筑密度</w:t>
      </w:r>
      <w:r>
        <w:rPr>
          <w:rFonts w:asciiTheme="minorEastAsia" w:hAnsiTheme="minorEastAsia" w:cs="Arial" w:hint="eastAsia"/>
          <w:color w:val="000000" w:themeColor="text1"/>
          <w:sz w:val="28"/>
          <w:szCs w:val="21"/>
          <w:shd w:val="clear" w:color="auto" w:fill="FFFFFF"/>
        </w:rPr>
        <w:t>≤28</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、绿地率≥32</w:t>
      </w:r>
      <w:r>
        <w:rPr>
          <w:rFonts w:asciiTheme="minorEastAsia" w:hAnsiTheme="minorEastAsia" w:cs="Arial"/>
          <w:color w:val="000000" w:themeColor="text1"/>
          <w:sz w:val="28"/>
          <w:szCs w:val="21"/>
          <w:shd w:val="clear" w:color="auto" w:fill="FFFFFF"/>
        </w:rPr>
        <w:t>%、</w:t>
      </w:r>
      <w:r>
        <w:rPr>
          <w:rFonts w:asciiTheme="minorEastAsia" w:hAnsiTheme="minorEastAsia" w:cs="Arial" w:hint="eastAsia"/>
          <w:color w:val="000000" w:themeColor="text1"/>
          <w:sz w:val="28"/>
          <w:szCs w:val="21"/>
          <w:shd w:val="clear" w:color="auto" w:fill="FFFFFF"/>
        </w:rPr>
        <w:t>建筑</w:t>
      </w:r>
      <w:r>
        <w:rPr>
          <w:rFonts w:asciiTheme="minorEastAsia" w:hAnsiTheme="minorEastAsia" w:cs="Arial"/>
          <w:color w:val="000000" w:themeColor="text1"/>
          <w:sz w:val="28"/>
          <w:szCs w:val="21"/>
          <w:shd w:val="clear" w:color="auto" w:fill="FFFFFF"/>
        </w:rPr>
        <w:t>限高为</w:t>
      </w:r>
      <w:r>
        <w:rPr>
          <w:rFonts w:asciiTheme="minorEastAsia" w:hAnsiTheme="minorEastAsia" w:cs="Arial" w:hint="eastAsia"/>
          <w:color w:val="000000" w:themeColor="text1"/>
          <w:sz w:val="28"/>
          <w:szCs w:val="21"/>
          <w:shd w:val="clear" w:color="auto" w:fill="FFFFFF"/>
        </w:rPr>
        <w:t>40米。</w:t>
      </w:r>
    </w:p>
    <w:p w:rsidR="002E737E" w:rsidRDefault="002E737E">
      <w:pPr>
        <w:pStyle w:val="a0"/>
      </w:pPr>
    </w:p>
    <w:p w:rsidR="002E737E" w:rsidRDefault="00ED1067">
      <w:pPr>
        <w:pStyle w:val="a5"/>
        <w:numPr>
          <w:ilvl w:val="0"/>
          <w:numId w:val="1"/>
        </w:numPr>
        <w:jc w:val="left"/>
        <w:rPr>
          <w:color w:val="000000" w:themeColor="text1"/>
          <w:sz w:val="30"/>
          <w:szCs w:val="30"/>
        </w:rPr>
      </w:pPr>
      <w:r>
        <w:rPr>
          <w:rFonts w:hint="eastAsia"/>
          <w:color w:val="000000" w:themeColor="text1"/>
          <w:sz w:val="30"/>
          <w:szCs w:val="30"/>
        </w:rPr>
        <w:t>调整方案：</w:t>
      </w:r>
    </w:p>
    <w:p w:rsidR="002E737E" w:rsidRDefault="00ED1067">
      <w:pPr>
        <w:ind w:firstLine="480"/>
        <w:jc w:val="left"/>
        <w:rPr>
          <w:rFonts w:asciiTheme="minorEastAsia" w:hAnsiTheme="minorEastAsia" w:cs="Arial"/>
          <w:sz w:val="28"/>
          <w:szCs w:val="21"/>
          <w:shd w:val="clear" w:color="auto" w:fill="FFFFFF"/>
        </w:rPr>
      </w:pPr>
      <w:r>
        <w:rPr>
          <w:rFonts w:asciiTheme="minorEastAsia" w:hAnsiTheme="minorEastAsia" w:cs="Arial" w:hint="eastAsia"/>
          <w:sz w:val="28"/>
          <w:szCs w:val="21"/>
          <w:shd w:val="clear" w:color="auto" w:fill="FFFFFF"/>
        </w:rPr>
        <w:t>本次规划调整已批复稿控</w:t>
      </w:r>
      <w:proofErr w:type="gramStart"/>
      <w:r>
        <w:rPr>
          <w:rFonts w:asciiTheme="minorEastAsia" w:hAnsiTheme="minorEastAsia" w:cs="Arial" w:hint="eastAsia"/>
          <w:sz w:val="28"/>
          <w:szCs w:val="21"/>
          <w:shd w:val="clear" w:color="auto" w:fill="FFFFFF"/>
        </w:rPr>
        <w:t>规</w:t>
      </w:r>
      <w:proofErr w:type="gramEnd"/>
      <w:r>
        <w:rPr>
          <w:rFonts w:asciiTheme="minorEastAsia" w:hAnsiTheme="minorEastAsia" w:cs="Arial" w:hint="eastAsia"/>
          <w:sz w:val="28"/>
          <w:szCs w:val="21"/>
          <w:shd w:val="clear" w:color="auto" w:fill="FFFFFF"/>
        </w:rPr>
        <w:t>为基础，对原</w:t>
      </w:r>
      <w:r>
        <w:rPr>
          <w:rFonts w:asciiTheme="minorEastAsia" w:hAnsiTheme="minorEastAsia" w:cs="Arial" w:hint="eastAsia"/>
          <w:color w:val="000000" w:themeColor="text1"/>
          <w:sz w:val="28"/>
          <w:szCs w:val="21"/>
          <w:shd w:val="clear" w:color="auto" w:fill="FFFFFF"/>
        </w:rPr>
        <w:t>A-4-1/2</w:t>
      </w:r>
      <w:r>
        <w:rPr>
          <w:rFonts w:asciiTheme="minorEastAsia" w:hAnsiTheme="minorEastAsia" w:cs="Arial" w:hint="eastAsia"/>
          <w:sz w:val="28"/>
          <w:szCs w:val="21"/>
          <w:shd w:val="clear" w:color="auto" w:fill="FFFFFF"/>
        </w:rPr>
        <w:t>地块进行调整。调整内容主要为：</w:t>
      </w:r>
    </w:p>
    <w:p w:rsidR="002E737E" w:rsidRDefault="00ED1067">
      <w:pPr>
        <w:pStyle w:val="1"/>
        <w:ind w:firstLineChars="200" w:firstLine="560"/>
        <w:rPr>
          <w:rFonts w:asciiTheme="minorEastAsia" w:hAnsiTheme="minorEastAsia" w:cs="Arial"/>
          <w:b w:val="0"/>
          <w:bCs w:val="0"/>
          <w:caps w:val="0"/>
          <w:sz w:val="28"/>
          <w:szCs w:val="21"/>
          <w:shd w:val="clear" w:color="auto" w:fill="FFFFFF"/>
        </w:rPr>
      </w:pPr>
      <w:r>
        <w:rPr>
          <w:rFonts w:asciiTheme="minorEastAsia" w:hAnsiTheme="minorEastAsia" w:cs="Arial" w:hint="eastAsia"/>
          <w:b w:val="0"/>
          <w:bCs w:val="0"/>
          <w:caps w:val="0"/>
          <w:sz w:val="28"/>
          <w:szCs w:val="21"/>
          <w:shd w:val="clear" w:color="auto" w:fill="FFFFFF"/>
        </w:rPr>
        <w:t>在地块A-4-1/2内靠西北角划分一个地块规划为教育机构用地（幼儿园）。调整后控制指标依据《江西省城市规划管理技术导则》（以下简称《省导则》）进行控制,具体指标如下：</w:t>
      </w:r>
    </w:p>
    <w:p w:rsidR="002E737E" w:rsidRDefault="00ED1067">
      <w:pPr>
        <w:ind w:firstLineChars="200" w:firstLine="560"/>
        <w:jc w:val="left"/>
        <w:rPr>
          <w:rFonts w:asciiTheme="minorEastAsia" w:hAnsiTheme="minorEastAsia" w:cs="Arial"/>
          <w:sz w:val="28"/>
          <w:szCs w:val="21"/>
          <w:shd w:val="clear" w:color="auto" w:fill="FFFFFF"/>
        </w:rPr>
      </w:pPr>
      <w:r>
        <w:rPr>
          <w:rFonts w:asciiTheme="minorEastAsia" w:hAnsiTheme="minorEastAsia" w:cs="Arial" w:hint="eastAsia"/>
          <w:sz w:val="28"/>
          <w:szCs w:val="21"/>
          <w:shd w:val="clear" w:color="auto" w:fill="FFFFFF"/>
        </w:rPr>
        <w:t>A-4-1地块用地性质为二类居住用地</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R2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w:t>
      </w:r>
      <w:r>
        <w:rPr>
          <w:rFonts w:asciiTheme="minorEastAsia" w:hAnsiTheme="minorEastAsia" w:cs="Arial"/>
          <w:sz w:val="28"/>
          <w:szCs w:val="21"/>
          <w:shd w:val="clear" w:color="auto" w:fill="FFFFFF"/>
        </w:rPr>
        <w:t>用地面积为</w:t>
      </w:r>
      <w:r>
        <w:rPr>
          <w:rFonts w:asciiTheme="minorEastAsia" w:hAnsiTheme="minorEastAsia" w:cs="Arial" w:hint="eastAsia"/>
          <w:sz w:val="28"/>
          <w:szCs w:val="21"/>
          <w:shd w:val="clear" w:color="auto" w:fill="FFFFFF"/>
        </w:rPr>
        <w:t>1.06hm</w:t>
      </w:r>
      <w:r>
        <w:rPr>
          <w:rFonts w:asciiTheme="minorEastAsia" w:hAnsiTheme="minorEastAsia" w:cs="Arial" w:hint="eastAsia"/>
          <w:sz w:val="28"/>
          <w:szCs w:val="21"/>
          <w:shd w:val="clear" w:color="auto" w:fill="FFFFFF"/>
          <w:vertAlign w:val="superscript"/>
        </w:rPr>
        <w:t>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lastRenderedPageBreak/>
        <w:t>主要</w:t>
      </w:r>
      <w:r>
        <w:rPr>
          <w:rFonts w:asciiTheme="minorEastAsia" w:hAnsiTheme="minorEastAsia" w:cs="Arial"/>
          <w:sz w:val="28"/>
          <w:szCs w:val="21"/>
          <w:shd w:val="clear" w:color="auto" w:fill="FFFFFF"/>
        </w:rPr>
        <w:t>控制指标为：容积率</w:t>
      </w:r>
      <w:r>
        <w:rPr>
          <w:rFonts w:asciiTheme="minorEastAsia" w:hAnsiTheme="minorEastAsia" w:cs="Arial" w:hint="eastAsia"/>
          <w:sz w:val="28"/>
          <w:szCs w:val="21"/>
          <w:shd w:val="clear" w:color="auto" w:fill="FFFFFF"/>
        </w:rPr>
        <w:t>≤1.8、</w:t>
      </w:r>
      <w:r>
        <w:rPr>
          <w:rFonts w:asciiTheme="minorEastAsia" w:hAnsiTheme="minorEastAsia" w:cs="Arial"/>
          <w:sz w:val="28"/>
          <w:szCs w:val="21"/>
          <w:shd w:val="clear" w:color="auto" w:fill="FFFFFF"/>
        </w:rPr>
        <w:t>建筑密度</w:t>
      </w:r>
      <w:r>
        <w:rPr>
          <w:rFonts w:asciiTheme="minorEastAsia" w:hAnsiTheme="minorEastAsia" w:cs="Arial" w:hint="eastAsia"/>
          <w:sz w:val="28"/>
          <w:szCs w:val="21"/>
          <w:shd w:val="clear" w:color="auto" w:fill="FFFFFF"/>
        </w:rPr>
        <w:t>≤28</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、绿地率≥32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建筑</w:t>
      </w:r>
      <w:r>
        <w:rPr>
          <w:rFonts w:asciiTheme="minorEastAsia" w:hAnsiTheme="minorEastAsia" w:cs="Arial"/>
          <w:sz w:val="28"/>
          <w:szCs w:val="21"/>
          <w:shd w:val="clear" w:color="auto" w:fill="FFFFFF"/>
        </w:rPr>
        <w:t>限高为</w:t>
      </w:r>
      <w:r>
        <w:rPr>
          <w:rFonts w:asciiTheme="minorEastAsia" w:hAnsiTheme="minorEastAsia" w:cs="Arial" w:hint="eastAsia"/>
          <w:sz w:val="28"/>
          <w:szCs w:val="21"/>
          <w:shd w:val="clear" w:color="auto" w:fill="FFFFFF"/>
        </w:rPr>
        <w:t>40米；</w:t>
      </w:r>
    </w:p>
    <w:p w:rsidR="002E737E" w:rsidRDefault="00ED1067">
      <w:pPr>
        <w:ind w:firstLineChars="200" w:firstLine="560"/>
        <w:jc w:val="left"/>
        <w:rPr>
          <w:rFonts w:asciiTheme="minorEastAsia" w:hAnsiTheme="minorEastAsia" w:cs="Arial"/>
          <w:sz w:val="28"/>
          <w:szCs w:val="21"/>
          <w:shd w:val="clear" w:color="auto" w:fill="FFFFFF"/>
        </w:rPr>
      </w:pPr>
      <w:r>
        <w:rPr>
          <w:rFonts w:asciiTheme="minorEastAsia" w:hAnsiTheme="minorEastAsia" w:cs="Arial" w:hint="eastAsia"/>
          <w:sz w:val="28"/>
          <w:szCs w:val="21"/>
          <w:shd w:val="clear" w:color="auto" w:fill="FFFFFF"/>
        </w:rPr>
        <w:t>A-4-2地块用地性质为二类居住用地</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R2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w:t>
      </w:r>
      <w:r>
        <w:rPr>
          <w:rFonts w:asciiTheme="minorEastAsia" w:hAnsiTheme="minorEastAsia" w:cs="Arial"/>
          <w:sz w:val="28"/>
          <w:szCs w:val="21"/>
          <w:shd w:val="clear" w:color="auto" w:fill="FFFFFF"/>
        </w:rPr>
        <w:t>用地面积为</w:t>
      </w:r>
      <w:r>
        <w:rPr>
          <w:rFonts w:asciiTheme="minorEastAsia" w:hAnsiTheme="minorEastAsia" w:cs="Arial" w:hint="eastAsia"/>
          <w:sz w:val="28"/>
          <w:szCs w:val="21"/>
          <w:shd w:val="clear" w:color="auto" w:fill="FFFFFF"/>
        </w:rPr>
        <w:t>1.17hm</w:t>
      </w:r>
      <w:r>
        <w:rPr>
          <w:rFonts w:asciiTheme="minorEastAsia" w:hAnsiTheme="minorEastAsia" w:cs="Arial" w:hint="eastAsia"/>
          <w:sz w:val="28"/>
          <w:szCs w:val="21"/>
          <w:shd w:val="clear" w:color="auto" w:fill="FFFFFF"/>
          <w:vertAlign w:val="superscript"/>
        </w:rPr>
        <w:t>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主要</w:t>
      </w:r>
      <w:r>
        <w:rPr>
          <w:rFonts w:asciiTheme="minorEastAsia" w:hAnsiTheme="minorEastAsia" w:cs="Arial"/>
          <w:sz w:val="28"/>
          <w:szCs w:val="21"/>
          <w:shd w:val="clear" w:color="auto" w:fill="FFFFFF"/>
        </w:rPr>
        <w:t>控制指标为：容积率</w:t>
      </w:r>
      <w:r>
        <w:rPr>
          <w:rFonts w:asciiTheme="minorEastAsia" w:hAnsiTheme="minorEastAsia" w:cs="Arial" w:hint="eastAsia"/>
          <w:sz w:val="28"/>
          <w:szCs w:val="21"/>
          <w:shd w:val="clear" w:color="auto" w:fill="FFFFFF"/>
        </w:rPr>
        <w:t>≤1.8、</w:t>
      </w:r>
      <w:r>
        <w:rPr>
          <w:rFonts w:asciiTheme="minorEastAsia" w:hAnsiTheme="minorEastAsia" w:cs="Arial"/>
          <w:sz w:val="28"/>
          <w:szCs w:val="21"/>
          <w:shd w:val="clear" w:color="auto" w:fill="FFFFFF"/>
        </w:rPr>
        <w:t>建筑密度</w:t>
      </w:r>
      <w:r>
        <w:rPr>
          <w:rFonts w:asciiTheme="minorEastAsia" w:hAnsiTheme="minorEastAsia" w:cs="Arial" w:hint="eastAsia"/>
          <w:sz w:val="28"/>
          <w:szCs w:val="21"/>
          <w:shd w:val="clear" w:color="auto" w:fill="FFFFFF"/>
        </w:rPr>
        <w:t>≤28</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、绿地率≥32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建筑</w:t>
      </w:r>
      <w:r>
        <w:rPr>
          <w:rFonts w:asciiTheme="minorEastAsia" w:hAnsiTheme="minorEastAsia" w:cs="Arial"/>
          <w:sz w:val="28"/>
          <w:szCs w:val="21"/>
          <w:shd w:val="clear" w:color="auto" w:fill="FFFFFF"/>
        </w:rPr>
        <w:t>限高为</w:t>
      </w:r>
      <w:r>
        <w:rPr>
          <w:rFonts w:asciiTheme="minorEastAsia" w:hAnsiTheme="minorEastAsia" w:cs="Arial" w:hint="eastAsia"/>
          <w:sz w:val="28"/>
          <w:szCs w:val="21"/>
          <w:shd w:val="clear" w:color="auto" w:fill="FFFFFF"/>
        </w:rPr>
        <w:t>40米；</w:t>
      </w:r>
    </w:p>
    <w:p w:rsidR="002E737E" w:rsidRDefault="00ED1067">
      <w:pPr>
        <w:ind w:firstLineChars="200" w:firstLine="560"/>
        <w:jc w:val="left"/>
        <w:rPr>
          <w:rFonts w:asciiTheme="minorEastAsia" w:hAnsiTheme="minorEastAsia" w:cs="Arial"/>
          <w:sz w:val="28"/>
          <w:szCs w:val="21"/>
          <w:shd w:val="clear" w:color="auto" w:fill="FFFFFF"/>
        </w:rPr>
      </w:pPr>
      <w:r>
        <w:rPr>
          <w:rFonts w:asciiTheme="minorEastAsia" w:hAnsiTheme="minorEastAsia" w:cs="Arial" w:hint="eastAsia"/>
          <w:sz w:val="28"/>
          <w:szCs w:val="21"/>
          <w:shd w:val="clear" w:color="auto" w:fill="FFFFFF"/>
        </w:rPr>
        <w:t>A-4-3地块用地性质为二类居住用地</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R2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w:t>
      </w:r>
      <w:r>
        <w:rPr>
          <w:rFonts w:asciiTheme="minorEastAsia" w:hAnsiTheme="minorEastAsia" w:cs="Arial"/>
          <w:sz w:val="28"/>
          <w:szCs w:val="21"/>
          <w:shd w:val="clear" w:color="auto" w:fill="FFFFFF"/>
        </w:rPr>
        <w:t>用地面积为</w:t>
      </w:r>
      <w:r>
        <w:rPr>
          <w:rFonts w:asciiTheme="minorEastAsia" w:hAnsiTheme="minorEastAsia" w:cs="Arial" w:hint="eastAsia"/>
          <w:sz w:val="28"/>
          <w:szCs w:val="21"/>
          <w:shd w:val="clear" w:color="auto" w:fill="FFFFFF"/>
        </w:rPr>
        <w:t>0.20hm</w:t>
      </w:r>
      <w:r>
        <w:rPr>
          <w:rFonts w:asciiTheme="minorEastAsia" w:hAnsiTheme="minorEastAsia" w:cs="Arial" w:hint="eastAsia"/>
          <w:sz w:val="28"/>
          <w:szCs w:val="21"/>
          <w:shd w:val="clear" w:color="auto" w:fill="FFFFFF"/>
          <w:vertAlign w:val="superscript"/>
        </w:rPr>
        <w:t>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主要</w:t>
      </w:r>
      <w:r>
        <w:rPr>
          <w:rFonts w:asciiTheme="minorEastAsia" w:hAnsiTheme="minorEastAsia" w:cs="Arial"/>
          <w:sz w:val="28"/>
          <w:szCs w:val="21"/>
          <w:shd w:val="clear" w:color="auto" w:fill="FFFFFF"/>
        </w:rPr>
        <w:t>控制指标为：容积率</w:t>
      </w:r>
      <w:r>
        <w:rPr>
          <w:rFonts w:asciiTheme="minorEastAsia" w:hAnsiTheme="minorEastAsia" w:cs="Arial" w:hint="eastAsia"/>
          <w:sz w:val="28"/>
          <w:szCs w:val="21"/>
          <w:shd w:val="clear" w:color="auto" w:fill="FFFFFF"/>
        </w:rPr>
        <w:t>≤1.8、</w:t>
      </w:r>
      <w:r>
        <w:rPr>
          <w:rFonts w:asciiTheme="minorEastAsia" w:hAnsiTheme="minorEastAsia" w:cs="Arial"/>
          <w:sz w:val="28"/>
          <w:szCs w:val="21"/>
          <w:shd w:val="clear" w:color="auto" w:fill="FFFFFF"/>
        </w:rPr>
        <w:t>建筑密度</w:t>
      </w:r>
      <w:r>
        <w:rPr>
          <w:rFonts w:asciiTheme="minorEastAsia" w:hAnsiTheme="minorEastAsia" w:cs="Arial" w:hint="eastAsia"/>
          <w:sz w:val="28"/>
          <w:szCs w:val="21"/>
          <w:shd w:val="clear" w:color="auto" w:fill="FFFFFF"/>
        </w:rPr>
        <w:t>≤28</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、绿地率≥32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建筑</w:t>
      </w:r>
      <w:r>
        <w:rPr>
          <w:rFonts w:asciiTheme="minorEastAsia" w:hAnsiTheme="minorEastAsia" w:cs="Arial"/>
          <w:sz w:val="28"/>
          <w:szCs w:val="21"/>
          <w:shd w:val="clear" w:color="auto" w:fill="FFFFFF"/>
        </w:rPr>
        <w:t>限高为</w:t>
      </w:r>
      <w:r>
        <w:rPr>
          <w:rFonts w:asciiTheme="minorEastAsia" w:hAnsiTheme="minorEastAsia" w:cs="Arial" w:hint="eastAsia"/>
          <w:sz w:val="28"/>
          <w:szCs w:val="21"/>
          <w:shd w:val="clear" w:color="auto" w:fill="FFFFFF"/>
        </w:rPr>
        <w:t>40米；</w:t>
      </w:r>
    </w:p>
    <w:p w:rsidR="002E737E" w:rsidRDefault="00ED1067">
      <w:pPr>
        <w:ind w:firstLineChars="200" w:firstLine="560"/>
        <w:jc w:val="left"/>
        <w:rPr>
          <w:rFonts w:asciiTheme="minorEastAsia" w:hAnsiTheme="minorEastAsia" w:cs="Arial"/>
          <w:sz w:val="28"/>
          <w:szCs w:val="21"/>
          <w:shd w:val="clear" w:color="auto" w:fill="FFFFFF"/>
        </w:rPr>
      </w:pPr>
      <w:r>
        <w:rPr>
          <w:rFonts w:asciiTheme="minorEastAsia" w:hAnsiTheme="minorEastAsia" w:cs="Arial" w:hint="eastAsia"/>
          <w:sz w:val="28"/>
          <w:szCs w:val="21"/>
          <w:shd w:val="clear" w:color="auto" w:fill="FFFFFF"/>
        </w:rPr>
        <w:t>A-4-4地块用地性质为教育机构用地（幼儿园）</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C2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w:t>
      </w:r>
      <w:r>
        <w:rPr>
          <w:rFonts w:asciiTheme="minorEastAsia" w:hAnsiTheme="minorEastAsia" w:cs="Arial"/>
          <w:sz w:val="28"/>
          <w:szCs w:val="21"/>
          <w:shd w:val="clear" w:color="auto" w:fill="FFFFFF"/>
        </w:rPr>
        <w:t>用地面积为</w:t>
      </w:r>
      <w:r>
        <w:rPr>
          <w:rFonts w:asciiTheme="minorEastAsia" w:hAnsiTheme="minorEastAsia" w:cs="Arial" w:hint="eastAsia"/>
          <w:sz w:val="28"/>
          <w:szCs w:val="21"/>
          <w:shd w:val="clear" w:color="auto" w:fill="FFFFFF"/>
        </w:rPr>
        <w:t>0.47hm</w:t>
      </w:r>
      <w:r>
        <w:rPr>
          <w:rFonts w:asciiTheme="minorEastAsia" w:hAnsiTheme="minorEastAsia" w:cs="Arial" w:hint="eastAsia"/>
          <w:sz w:val="28"/>
          <w:szCs w:val="21"/>
          <w:shd w:val="clear" w:color="auto" w:fill="FFFFFF"/>
          <w:vertAlign w:val="superscript"/>
        </w:rPr>
        <w:t>2</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主要</w:t>
      </w:r>
      <w:r>
        <w:rPr>
          <w:rFonts w:asciiTheme="minorEastAsia" w:hAnsiTheme="minorEastAsia" w:cs="Arial"/>
          <w:sz w:val="28"/>
          <w:szCs w:val="21"/>
          <w:shd w:val="clear" w:color="auto" w:fill="FFFFFF"/>
        </w:rPr>
        <w:t>控制指标为：容积率</w:t>
      </w:r>
      <w:r>
        <w:rPr>
          <w:rFonts w:asciiTheme="minorEastAsia" w:hAnsiTheme="minorEastAsia" w:cs="Arial" w:hint="eastAsia"/>
          <w:sz w:val="28"/>
          <w:szCs w:val="21"/>
          <w:shd w:val="clear" w:color="auto" w:fill="FFFFFF"/>
        </w:rPr>
        <w:t>≤1.2、</w:t>
      </w:r>
      <w:r>
        <w:rPr>
          <w:rFonts w:asciiTheme="minorEastAsia" w:hAnsiTheme="minorEastAsia" w:cs="Arial"/>
          <w:sz w:val="28"/>
          <w:szCs w:val="21"/>
          <w:shd w:val="clear" w:color="auto" w:fill="FFFFFF"/>
        </w:rPr>
        <w:t>建筑密度</w:t>
      </w:r>
      <w:r>
        <w:rPr>
          <w:rFonts w:asciiTheme="minorEastAsia" w:hAnsiTheme="minorEastAsia" w:cs="Arial" w:hint="eastAsia"/>
          <w:sz w:val="28"/>
          <w:szCs w:val="21"/>
          <w:shd w:val="clear" w:color="auto" w:fill="FFFFFF"/>
        </w:rPr>
        <w:t>≤30</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、绿地率≥30</w:t>
      </w:r>
      <w:r>
        <w:rPr>
          <w:rFonts w:asciiTheme="minorEastAsia" w:hAnsiTheme="minorEastAsia" w:cs="Arial"/>
          <w:sz w:val="28"/>
          <w:szCs w:val="21"/>
          <w:shd w:val="clear" w:color="auto" w:fill="FFFFFF"/>
        </w:rPr>
        <w:t>%、</w:t>
      </w:r>
      <w:r>
        <w:rPr>
          <w:rFonts w:asciiTheme="minorEastAsia" w:hAnsiTheme="minorEastAsia" w:cs="Arial" w:hint="eastAsia"/>
          <w:sz w:val="28"/>
          <w:szCs w:val="21"/>
          <w:shd w:val="clear" w:color="auto" w:fill="FFFFFF"/>
        </w:rPr>
        <w:t>建筑</w:t>
      </w:r>
      <w:r>
        <w:rPr>
          <w:rFonts w:asciiTheme="minorEastAsia" w:hAnsiTheme="minorEastAsia" w:cs="Arial"/>
          <w:sz w:val="28"/>
          <w:szCs w:val="21"/>
          <w:shd w:val="clear" w:color="auto" w:fill="FFFFFF"/>
        </w:rPr>
        <w:t>限高为</w:t>
      </w:r>
      <w:r>
        <w:rPr>
          <w:rFonts w:asciiTheme="minorEastAsia" w:hAnsiTheme="minorEastAsia" w:cs="Arial" w:hint="eastAsia"/>
          <w:sz w:val="28"/>
          <w:szCs w:val="21"/>
          <w:shd w:val="clear" w:color="auto" w:fill="FFFFFF"/>
        </w:rPr>
        <w:t>24米。</w:t>
      </w:r>
    </w:p>
    <w:p w:rsidR="002E737E" w:rsidRDefault="00ED1067">
      <w:pPr>
        <w:pStyle w:val="a5"/>
        <w:numPr>
          <w:ilvl w:val="0"/>
          <w:numId w:val="1"/>
        </w:numPr>
        <w:jc w:val="left"/>
        <w:rPr>
          <w:color w:val="000000" w:themeColor="text1"/>
          <w:sz w:val="30"/>
          <w:szCs w:val="30"/>
        </w:rPr>
      </w:pPr>
      <w:r>
        <w:rPr>
          <w:rFonts w:hint="eastAsia"/>
          <w:color w:val="000000" w:themeColor="text1"/>
          <w:sz w:val="30"/>
          <w:szCs w:val="30"/>
        </w:rPr>
        <w:t>结论：</w:t>
      </w:r>
    </w:p>
    <w:p w:rsidR="002E737E" w:rsidRDefault="00ED1067">
      <w:pPr>
        <w:ind w:firstLine="480"/>
        <w:jc w:val="left"/>
        <w:rPr>
          <w:rFonts w:asciiTheme="minorEastAsia" w:hAnsiTheme="minorEastAsia" w:cs="Arial"/>
          <w:sz w:val="28"/>
          <w:szCs w:val="21"/>
          <w:shd w:val="clear" w:color="auto" w:fill="FFFFFF"/>
        </w:rPr>
      </w:pPr>
      <w:r>
        <w:rPr>
          <w:rFonts w:asciiTheme="minorEastAsia" w:hAnsiTheme="minorEastAsia" w:cs="Arial" w:hint="eastAsia"/>
          <w:sz w:val="28"/>
          <w:szCs w:val="21"/>
          <w:shd w:val="clear" w:color="auto" w:fill="FFFFFF"/>
        </w:rPr>
        <w:t>本次调整综合考虑了珠</w:t>
      </w:r>
      <w:proofErr w:type="gramStart"/>
      <w:r>
        <w:rPr>
          <w:rFonts w:asciiTheme="minorEastAsia" w:hAnsiTheme="minorEastAsia" w:cs="Arial" w:hint="eastAsia"/>
          <w:sz w:val="28"/>
          <w:szCs w:val="21"/>
          <w:shd w:val="clear" w:color="auto" w:fill="FFFFFF"/>
        </w:rPr>
        <w:t>珊</w:t>
      </w:r>
      <w:proofErr w:type="gramEnd"/>
      <w:r>
        <w:rPr>
          <w:rFonts w:asciiTheme="minorEastAsia" w:hAnsiTheme="minorEastAsia" w:cs="Arial" w:hint="eastAsia"/>
          <w:sz w:val="28"/>
          <w:szCs w:val="21"/>
          <w:shd w:val="clear" w:color="auto" w:fill="FFFFFF"/>
        </w:rPr>
        <w:t>镇的建设情况，调整</w:t>
      </w:r>
      <w:proofErr w:type="gramStart"/>
      <w:r>
        <w:rPr>
          <w:rFonts w:asciiTheme="minorEastAsia" w:hAnsiTheme="minorEastAsia" w:cs="Arial" w:hint="eastAsia"/>
          <w:sz w:val="28"/>
          <w:szCs w:val="21"/>
          <w:shd w:val="clear" w:color="auto" w:fill="FFFFFF"/>
        </w:rPr>
        <w:t>后指标</w:t>
      </w:r>
      <w:proofErr w:type="gramEnd"/>
      <w:r>
        <w:rPr>
          <w:rFonts w:asciiTheme="minorEastAsia" w:hAnsiTheme="minorEastAsia" w:cs="Arial" w:hint="eastAsia"/>
          <w:sz w:val="28"/>
          <w:szCs w:val="21"/>
          <w:shd w:val="clear" w:color="auto" w:fill="FFFFFF"/>
        </w:rPr>
        <w:t>均符合《江西省城市规划管理技术导则（</w:t>
      </w:r>
      <w:r>
        <w:rPr>
          <w:rFonts w:asciiTheme="minorEastAsia" w:hAnsiTheme="minorEastAsia" w:cs="Arial"/>
          <w:sz w:val="28"/>
          <w:szCs w:val="21"/>
          <w:shd w:val="clear" w:color="auto" w:fill="FFFFFF"/>
        </w:rPr>
        <w:t>2014 版）》</w:t>
      </w:r>
      <w:r>
        <w:rPr>
          <w:rFonts w:asciiTheme="minorEastAsia" w:hAnsiTheme="minorEastAsia" w:cs="Arial" w:hint="eastAsia"/>
          <w:sz w:val="28"/>
          <w:szCs w:val="21"/>
          <w:shd w:val="clear" w:color="auto" w:fill="FFFFFF"/>
        </w:rPr>
        <w:t>要求。</w:t>
      </w:r>
    </w:p>
    <w:p w:rsidR="002E737E" w:rsidRDefault="00ED1067">
      <w:pPr>
        <w:ind w:firstLine="480"/>
        <w:jc w:val="left"/>
        <w:rPr>
          <w:rFonts w:asciiTheme="minorEastAsia" w:hAnsiTheme="minorEastAsia" w:cs="Arial"/>
          <w:sz w:val="28"/>
          <w:szCs w:val="21"/>
          <w:shd w:val="clear" w:color="auto" w:fill="FFFFFF"/>
        </w:rPr>
      </w:pPr>
      <w:r>
        <w:rPr>
          <w:rFonts w:asciiTheme="minorEastAsia" w:hAnsiTheme="minorEastAsia" w:cs="Arial" w:hint="eastAsia"/>
          <w:sz w:val="28"/>
          <w:szCs w:val="21"/>
          <w:shd w:val="clear" w:color="auto" w:fill="FFFFFF"/>
        </w:rPr>
        <w:t>规划修改后，人口容量减少；教育用地集中造成的交通问题，可在后续的详细规划中增加停车位和注重放下学接送的交通组织问题予以解决；</w:t>
      </w:r>
      <w:r>
        <w:rPr>
          <w:rFonts w:asciiTheme="minorEastAsia" w:hAnsiTheme="minorEastAsia" w:cs="Arial"/>
          <w:sz w:val="28"/>
          <w:szCs w:val="21"/>
          <w:shd w:val="clear" w:color="auto" w:fill="FFFFFF"/>
        </w:rPr>
        <w:t>对</w:t>
      </w:r>
      <w:r>
        <w:rPr>
          <w:rFonts w:asciiTheme="minorEastAsia" w:hAnsiTheme="minorEastAsia" w:cs="Arial" w:hint="eastAsia"/>
          <w:sz w:val="28"/>
          <w:szCs w:val="21"/>
          <w:shd w:val="clear" w:color="auto" w:fill="FFFFFF"/>
        </w:rPr>
        <w:t>珠</w:t>
      </w:r>
      <w:proofErr w:type="gramStart"/>
      <w:r>
        <w:rPr>
          <w:rFonts w:asciiTheme="minorEastAsia" w:hAnsiTheme="minorEastAsia" w:cs="Arial" w:hint="eastAsia"/>
          <w:sz w:val="28"/>
          <w:szCs w:val="21"/>
          <w:shd w:val="clear" w:color="auto" w:fill="FFFFFF"/>
        </w:rPr>
        <w:t>珊</w:t>
      </w:r>
      <w:proofErr w:type="gramEnd"/>
      <w:r>
        <w:rPr>
          <w:rFonts w:asciiTheme="minorEastAsia" w:hAnsiTheme="minorEastAsia" w:cs="Arial" w:hint="eastAsia"/>
          <w:sz w:val="28"/>
          <w:szCs w:val="21"/>
          <w:shd w:val="clear" w:color="auto" w:fill="FFFFFF"/>
        </w:rPr>
        <w:t>镇空间环境景观和社会上没有造成不良影响；给水、排水、燃气、通信和电力需求量均在珠</w:t>
      </w:r>
      <w:proofErr w:type="gramStart"/>
      <w:r>
        <w:rPr>
          <w:rFonts w:asciiTheme="minorEastAsia" w:hAnsiTheme="minorEastAsia" w:cs="Arial" w:hint="eastAsia"/>
          <w:sz w:val="28"/>
          <w:szCs w:val="21"/>
          <w:shd w:val="clear" w:color="auto" w:fill="FFFFFF"/>
        </w:rPr>
        <w:t>珊</w:t>
      </w:r>
      <w:proofErr w:type="gramEnd"/>
      <w:r>
        <w:rPr>
          <w:rFonts w:asciiTheme="minorEastAsia" w:hAnsiTheme="minorEastAsia" w:cs="Arial" w:hint="eastAsia"/>
          <w:sz w:val="28"/>
          <w:szCs w:val="21"/>
          <w:shd w:val="clear" w:color="auto" w:fill="FFFFFF"/>
        </w:rPr>
        <w:t>镇的市政承载力之内；同时增加了教育机构用地（幼儿园），能改善居民生活环境和缓解镇区教育资源不足的问题。</w:t>
      </w:r>
    </w:p>
    <w:p w:rsidR="002E737E" w:rsidRDefault="00ED1067">
      <w:pPr>
        <w:ind w:firstLine="480"/>
        <w:jc w:val="left"/>
      </w:pPr>
      <w:r>
        <w:rPr>
          <w:rFonts w:asciiTheme="minorEastAsia" w:hAnsiTheme="minorEastAsia" w:cs="Arial" w:hint="eastAsia"/>
          <w:sz w:val="28"/>
          <w:szCs w:val="21"/>
          <w:shd w:val="clear" w:color="auto" w:fill="FFFFFF"/>
        </w:rPr>
        <w:t>综上所述，</w:t>
      </w:r>
      <w:r>
        <w:rPr>
          <w:rFonts w:asciiTheme="minorEastAsia" w:hAnsiTheme="minorEastAsia" w:cs="Arial" w:hint="eastAsia"/>
          <w:color w:val="000000" w:themeColor="text1"/>
          <w:sz w:val="28"/>
          <w:szCs w:val="21"/>
          <w:shd w:val="clear" w:color="auto" w:fill="FFFFFF"/>
        </w:rPr>
        <w:t>新余市珠</w:t>
      </w:r>
      <w:proofErr w:type="gramStart"/>
      <w:r>
        <w:rPr>
          <w:rFonts w:asciiTheme="minorEastAsia" w:hAnsiTheme="minorEastAsia" w:cs="Arial" w:hint="eastAsia"/>
          <w:color w:val="000000" w:themeColor="text1"/>
          <w:sz w:val="28"/>
          <w:szCs w:val="21"/>
          <w:shd w:val="clear" w:color="auto" w:fill="FFFFFF"/>
        </w:rPr>
        <w:t>珊</w:t>
      </w:r>
      <w:proofErr w:type="gramEnd"/>
      <w:r>
        <w:rPr>
          <w:rFonts w:asciiTheme="minorEastAsia" w:hAnsiTheme="minorEastAsia" w:cs="Arial" w:hint="eastAsia"/>
          <w:color w:val="000000" w:themeColor="text1"/>
          <w:sz w:val="28"/>
          <w:szCs w:val="21"/>
          <w:shd w:val="clear" w:color="auto" w:fill="FFFFFF"/>
        </w:rPr>
        <w:t>镇控制性详细规划A-4-1/2地块规划图则调整</w:t>
      </w:r>
      <w:r>
        <w:rPr>
          <w:rFonts w:asciiTheme="minorEastAsia" w:hAnsiTheme="minorEastAsia" w:cs="Arial" w:hint="eastAsia"/>
          <w:sz w:val="28"/>
          <w:szCs w:val="21"/>
          <w:shd w:val="clear" w:color="auto" w:fill="FFFFFF"/>
        </w:rPr>
        <w:t>基本可行。</w:t>
      </w:r>
    </w:p>
    <w:sectPr w:rsidR="002E737E">
      <w:pgSz w:w="11906" w:h="16838"/>
      <w:pgMar w:top="1020" w:right="1800" w:bottom="1118"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F1D" w:rsidRDefault="000B1F1D" w:rsidP="0067220A">
      <w:r>
        <w:separator/>
      </w:r>
    </w:p>
  </w:endnote>
  <w:endnote w:type="continuationSeparator" w:id="0">
    <w:p w:rsidR="000B1F1D" w:rsidRDefault="000B1F1D" w:rsidP="00672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F1D" w:rsidRDefault="000B1F1D" w:rsidP="0067220A">
      <w:r>
        <w:separator/>
      </w:r>
    </w:p>
  </w:footnote>
  <w:footnote w:type="continuationSeparator" w:id="0">
    <w:p w:rsidR="000B1F1D" w:rsidRDefault="000B1F1D" w:rsidP="006722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E57F4B"/>
    <w:multiLevelType w:val="singleLevel"/>
    <w:tmpl w:val="ADE57F4B"/>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8F04C4"/>
    <w:rsid w:val="000B1F1D"/>
    <w:rsid w:val="002E737E"/>
    <w:rsid w:val="0067220A"/>
    <w:rsid w:val="00C024D7"/>
    <w:rsid w:val="00ED1067"/>
    <w:rsid w:val="14243870"/>
    <w:rsid w:val="2E8F04C4"/>
    <w:rsid w:val="7D850608"/>
    <w:rsid w:val="7E092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caption" w:semiHidden="1" w:unhideWhenUsed="1" w:qFormat="1"/>
    <w:lsdException w:name="Title" w:uiPriority="10" w:qFormat="1"/>
    <w:lsdException w:name="Default Paragraph Font" w:semiHidden="1" w:qFormat="1"/>
    <w:lsdException w:name="Body Text" w:uiPriority="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hAnsi="Calibr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1"/>
    <w:qFormat/>
    <w:pPr>
      <w:autoSpaceDE w:val="0"/>
      <w:autoSpaceDN w:val="0"/>
      <w:adjustRightInd w:val="0"/>
      <w:jc w:val="left"/>
    </w:pPr>
    <w:rPr>
      <w:rFonts w:ascii="宋体" w:hAnsi="Times New Roman" w:cs="宋体"/>
      <w:kern w:val="0"/>
      <w:sz w:val="24"/>
      <w:szCs w:val="24"/>
    </w:rPr>
  </w:style>
  <w:style w:type="paragraph" w:styleId="a4">
    <w:name w:val="Body Text First Indent"/>
    <w:basedOn w:val="a0"/>
    <w:qFormat/>
    <w:pPr>
      <w:autoSpaceDE/>
      <w:autoSpaceDN/>
      <w:adjustRightInd/>
      <w:spacing w:after="120"/>
      <w:ind w:firstLineChars="100" w:firstLine="420"/>
    </w:pPr>
    <w:rPr>
      <w:rFonts w:ascii="Times New Roman"/>
      <w:kern w:val="2"/>
      <w:sz w:val="21"/>
    </w:rPr>
  </w:style>
  <w:style w:type="paragraph" w:styleId="1">
    <w:name w:val="toc 1"/>
    <w:basedOn w:val="a"/>
    <w:next w:val="a"/>
    <w:uiPriority w:val="39"/>
    <w:unhideWhenUsed/>
    <w:qFormat/>
    <w:pPr>
      <w:spacing w:before="120" w:after="120"/>
      <w:jc w:val="left"/>
    </w:pPr>
    <w:rPr>
      <w:rFonts w:asciiTheme="minorHAnsi" w:hAnsiTheme="minorHAnsi" w:cstheme="minorHAnsi"/>
      <w:b/>
      <w:bCs/>
      <w:caps/>
      <w:sz w:val="20"/>
      <w:szCs w:val="20"/>
    </w:rPr>
  </w:style>
  <w:style w:type="paragraph" w:styleId="a5">
    <w:name w:val="Title"/>
    <w:basedOn w:val="a"/>
    <w:next w:val="a"/>
    <w:uiPriority w:val="10"/>
    <w:qFormat/>
    <w:pPr>
      <w:spacing w:before="240" w:after="60"/>
      <w:jc w:val="center"/>
      <w:outlineLvl w:val="0"/>
    </w:pPr>
    <w:rPr>
      <w:rFonts w:asciiTheme="majorHAnsi" w:eastAsiaTheme="majorEastAsia" w:hAnsiTheme="majorHAnsi" w:cstheme="majorBidi"/>
      <w:b/>
      <w:bCs/>
      <w:sz w:val="32"/>
      <w:szCs w:val="32"/>
    </w:rPr>
  </w:style>
  <w:style w:type="paragraph" w:styleId="a6">
    <w:name w:val="header"/>
    <w:basedOn w:val="a"/>
    <w:link w:val="Char"/>
    <w:rsid w:val="006722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67220A"/>
    <w:rPr>
      <w:rFonts w:ascii="Calibri" w:hAnsi="Calibri"/>
      <w:kern w:val="2"/>
      <w:sz w:val="18"/>
      <w:szCs w:val="18"/>
    </w:rPr>
  </w:style>
  <w:style w:type="paragraph" w:styleId="a7">
    <w:name w:val="footer"/>
    <w:basedOn w:val="a"/>
    <w:link w:val="Char0"/>
    <w:rsid w:val="0067220A"/>
    <w:pPr>
      <w:tabs>
        <w:tab w:val="center" w:pos="4153"/>
        <w:tab w:val="right" w:pos="8306"/>
      </w:tabs>
      <w:snapToGrid w:val="0"/>
      <w:jc w:val="left"/>
    </w:pPr>
    <w:rPr>
      <w:sz w:val="18"/>
      <w:szCs w:val="18"/>
    </w:rPr>
  </w:style>
  <w:style w:type="character" w:customStyle="1" w:styleId="Char0">
    <w:name w:val="页脚 Char"/>
    <w:basedOn w:val="a1"/>
    <w:link w:val="a7"/>
    <w:rsid w:val="0067220A"/>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caption" w:semiHidden="1" w:unhideWhenUsed="1" w:qFormat="1"/>
    <w:lsdException w:name="Title" w:uiPriority="10" w:qFormat="1"/>
    <w:lsdException w:name="Default Paragraph Font" w:semiHidden="1" w:qFormat="1"/>
    <w:lsdException w:name="Body Text" w:uiPriority="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hAnsi="Calibr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1"/>
    <w:qFormat/>
    <w:pPr>
      <w:autoSpaceDE w:val="0"/>
      <w:autoSpaceDN w:val="0"/>
      <w:adjustRightInd w:val="0"/>
      <w:jc w:val="left"/>
    </w:pPr>
    <w:rPr>
      <w:rFonts w:ascii="宋体" w:hAnsi="Times New Roman" w:cs="宋体"/>
      <w:kern w:val="0"/>
      <w:sz w:val="24"/>
      <w:szCs w:val="24"/>
    </w:rPr>
  </w:style>
  <w:style w:type="paragraph" w:styleId="a4">
    <w:name w:val="Body Text First Indent"/>
    <w:basedOn w:val="a0"/>
    <w:qFormat/>
    <w:pPr>
      <w:autoSpaceDE/>
      <w:autoSpaceDN/>
      <w:adjustRightInd/>
      <w:spacing w:after="120"/>
      <w:ind w:firstLineChars="100" w:firstLine="420"/>
    </w:pPr>
    <w:rPr>
      <w:rFonts w:ascii="Times New Roman"/>
      <w:kern w:val="2"/>
      <w:sz w:val="21"/>
    </w:rPr>
  </w:style>
  <w:style w:type="paragraph" w:styleId="1">
    <w:name w:val="toc 1"/>
    <w:basedOn w:val="a"/>
    <w:next w:val="a"/>
    <w:uiPriority w:val="39"/>
    <w:unhideWhenUsed/>
    <w:qFormat/>
    <w:pPr>
      <w:spacing w:before="120" w:after="120"/>
      <w:jc w:val="left"/>
    </w:pPr>
    <w:rPr>
      <w:rFonts w:asciiTheme="minorHAnsi" w:hAnsiTheme="minorHAnsi" w:cstheme="minorHAnsi"/>
      <w:b/>
      <w:bCs/>
      <w:caps/>
      <w:sz w:val="20"/>
      <w:szCs w:val="20"/>
    </w:rPr>
  </w:style>
  <w:style w:type="paragraph" w:styleId="a5">
    <w:name w:val="Title"/>
    <w:basedOn w:val="a"/>
    <w:next w:val="a"/>
    <w:uiPriority w:val="10"/>
    <w:qFormat/>
    <w:pPr>
      <w:spacing w:before="240" w:after="60"/>
      <w:jc w:val="center"/>
      <w:outlineLvl w:val="0"/>
    </w:pPr>
    <w:rPr>
      <w:rFonts w:asciiTheme="majorHAnsi" w:eastAsiaTheme="majorEastAsia" w:hAnsiTheme="majorHAnsi" w:cstheme="majorBidi"/>
      <w:b/>
      <w:bCs/>
      <w:sz w:val="32"/>
      <w:szCs w:val="32"/>
    </w:rPr>
  </w:style>
  <w:style w:type="paragraph" w:styleId="a6">
    <w:name w:val="header"/>
    <w:basedOn w:val="a"/>
    <w:link w:val="Char"/>
    <w:rsid w:val="006722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67220A"/>
    <w:rPr>
      <w:rFonts w:ascii="Calibri" w:hAnsi="Calibri"/>
      <w:kern w:val="2"/>
      <w:sz w:val="18"/>
      <w:szCs w:val="18"/>
    </w:rPr>
  </w:style>
  <w:style w:type="paragraph" w:styleId="a7">
    <w:name w:val="footer"/>
    <w:basedOn w:val="a"/>
    <w:link w:val="Char0"/>
    <w:rsid w:val="0067220A"/>
    <w:pPr>
      <w:tabs>
        <w:tab w:val="center" w:pos="4153"/>
        <w:tab w:val="right" w:pos="8306"/>
      </w:tabs>
      <w:snapToGrid w:val="0"/>
      <w:jc w:val="left"/>
    </w:pPr>
    <w:rPr>
      <w:sz w:val="18"/>
      <w:szCs w:val="18"/>
    </w:rPr>
  </w:style>
  <w:style w:type="character" w:customStyle="1" w:styleId="Char0">
    <w:name w:val="页脚 Char"/>
    <w:basedOn w:val="a1"/>
    <w:link w:val="a7"/>
    <w:rsid w:val="0067220A"/>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884</Characters>
  <Application>Microsoft Office Word</Application>
  <DocSecurity>0</DocSecurity>
  <Lines>7</Lines>
  <Paragraphs>2</Paragraphs>
  <ScaleCrop>false</ScaleCrop>
  <Company/>
  <LinksUpToDate>false</LinksUpToDate>
  <CharactersWithSpaces>1036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4</cp:revision>
  <dcterms:created xsi:type="dcterms:W3CDTF">2022-07-20T07:14:00Z</dcterms:created>
  <dcterms:modified xsi:type="dcterms:W3CDTF">2022-07-20T07:20:00Z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