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  <w:t>渝水区医疗保障局</w:t>
      </w:r>
    </w:p>
    <w:p>
      <w:pPr>
        <w:widowControl/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44"/>
          <w:szCs w:val="44"/>
        </w:rPr>
        <w:t>关于印发《渝水区医疗保障领域轻微违法行为不予处罚清单》的通知</w:t>
      </w:r>
    </w:p>
    <w:p>
      <w:pPr>
        <w:pStyle w:val="6"/>
        <w:widowControl/>
        <w:ind w:firstLine="640"/>
        <w:rPr>
          <w:rFonts w:hint="default" w:ascii="仿宋_GB2312" w:eastAsia="仿宋_GB2312" w:cs="仿宋_GB2312"/>
          <w:color w:val="000000"/>
          <w:sz w:val="31"/>
          <w:szCs w:val="31"/>
        </w:rPr>
      </w:pPr>
    </w:p>
    <w:p>
      <w:pPr>
        <w:pStyle w:val="6"/>
        <w:widowControl/>
        <w:rPr>
          <w:rFonts w:hint="default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>各定点医药机构：</w:t>
      </w:r>
    </w:p>
    <w:p>
      <w:pPr>
        <w:pStyle w:val="6"/>
        <w:widowControl/>
        <w:ind w:firstLine="64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>按照《中共江西省委、江西省人民政府关于深入推进营商环境优化升级“一号改革工程”的意见》（赣发〔2022〕5号）文件要求，为进一步激发市场活力，优化营商环境，根据《中华人民共和国行政处罚法》、《医疗保障基金使用监督管理条例》、《江西省医疗保障基金监管行政处罚裁量权实施细则（试行）》等法律法规，经研究决定，制定《渝水区医疗保障领域轻微违法行为不予处罚清单》，请认真遵照执行。</w:t>
      </w:r>
    </w:p>
    <w:p>
      <w:pPr>
        <w:pStyle w:val="6"/>
        <w:widowControl/>
        <w:ind w:firstLine="640"/>
        <w:rPr>
          <w:rFonts w:hint="default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6"/>
        <w:widowControl/>
        <w:ind w:firstLine="640"/>
        <w:rPr>
          <w:rFonts w:hint="default"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>附件：渝水区医疗保障领域轻微违法行为不予处罚清单</w:t>
      </w:r>
    </w:p>
    <w:p>
      <w:pPr>
        <w:rPr>
          <w:rFonts w:eastAsiaTheme="minorEastAsia"/>
        </w:rPr>
      </w:pPr>
    </w:p>
    <w:p>
      <w:pPr>
        <w:pStyle w:val="2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eastAsiaTheme="minorEastAsia"/>
        </w:rPr>
        <w:t xml:space="preserve">     </w:t>
      </w:r>
    </w:p>
    <w:p>
      <w:pPr>
        <w:pStyle w:val="2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pStyle w:val="2"/>
        <w:ind w:firstLine="5120" w:firstLineChars="16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渝水区医疗保障局</w:t>
      </w:r>
    </w:p>
    <w:p>
      <w:pPr>
        <w:pStyle w:val="2"/>
        <w:ind w:firstLine="5440" w:firstLineChars="170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2022年9月6日</w:t>
      </w:r>
    </w:p>
    <w:p>
      <w:pPr>
        <w:pStyle w:val="2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default"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left"/>
        <w:rPr>
          <w:rFonts w:ascii="黑体" w:hAnsi="黑体" w:eastAsia="黑体" w:cs="黑体"/>
          <w:spacing w:val="-11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44546A" w:themeColor="text2"/>
          <w:sz w:val="32"/>
          <w:szCs w:val="32"/>
        </w:rPr>
        <w:t>附件：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kern w:val="0"/>
          <w:sz w:val="44"/>
          <w:szCs w:val="44"/>
        </w:rPr>
        <w:t>渝水区医保局领域轻微违法行为不予处罚清单</w:t>
      </w:r>
    </w:p>
    <w:tbl>
      <w:tblPr>
        <w:tblStyle w:val="7"/>
        <w:tblW w:w="13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5640"/>
        <w:gridCol w:w="3960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825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w w:val="86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w w:val="86"/>
                <w:sz w:val="32"/>
                <w:szCs w:val="32"/>
              </w:rPr>
              <w:t>序号</w:t>
            </w:r>
          </w:p>
        </w:tc>
        <w:tc>
          <w:tcPr>
            <w:tcW w:w="564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w w:val="86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w w:val="86"/>
                <w:sz w:val="32"/>
                <w:szCs w:val="32"/>
              </w:rPr>
              <w:t>违法行为</w:t>
            </w:r>
          </w:p>
        </w:tc>
        <w:tc>
          <w:tcPr>
            <w:tcW w:w="396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w w:val="86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w w:val="86"/>
                <w:sz w:val="32"/>
                <w:szCs w:val="32"/>
              </w:rPr>
              <w:t>不予处罚条件</w:t>
            </w:r>
          </w:p>
        </w:tc>
        <w:tc>
          <w:tcPr>
            <w:tcW w:w="3433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w w:val="86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Cs/>
                <w:w w:val="86"/>
                <w:sz w:val="32"/>
                <w:szCs w:val="32"/>
              </w:rPr>
              <w:t>法律依据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</w:trPr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pacing w:val="-11"/>
                <w:kern w:val="0"/>
                <w:szCs w:val="21"/>
              </w:rPr>
              <w:t>1</w:t>
            </w:r>
          </w:p>
        </w:tc>
        <w:tc>
          <w:tcPr>
            <w:tcW w:w="5640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</w:pPr>
            <w:r>
              <w:rPr>
                <w:rFonts w:hint="eastAsia"/>
              </w:rPr>
              <w:t>分解住院、挂床住院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</w:pPr>
            <w:r>
              <w:rPr>
                <w:rFonts w:hint="eastAsia"/>
              </w:rPr>
              <w:t>违反诊疗规范过度诊疗、过度检查、分解处方、超量开药、重复开药或者提供其他不必要的医药服务；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</w:pPr>
            <w:r>
              <w:rPr>
                <w:rFonts w:hint="eastAsia"/>
              </w:rPr>
              <w:t>重复收费、超标准收费、分解项目收费；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</w:pPr>
            <w:r>
              <w:rPr>
                <w:rFonts w:hint="eastAsia"/>
              </w:rPr>
              <w:t>串换药品、医用耗材、诊疗项目和服务设施；</w:t>
            </w:r>
          </w:p>
          <w:p>
            <w:pPr>
              <w:pStyle w:val="3"/>
              <w:numPr>
                <w:ilvl w:val="0"/>
                <w:numId w:val="1"/>
              </w:numPr>
              <w:rPr>
                <w:b w:val="0"/>
                <w:bCs w:val="0"/>
                <w:sz w:val="21"/>
                <w:szCs w:val="24"/>
              </w:rPr>
            </w:pPr>
            <w:r>
              <w:rPr>
                <w:rFonts w:hint="eastAsia"/>
                <w:b w:val="0"/>
                <w:bCs w:val="0"/>
                <w:sz w:val="21"/>
                <w:szCs w:val="24"/>
              </w:rPr>
              <w:t>为参保人员利用其享受医疗保险待遇的机会转卖药品，接收返还现金、实物或者获得其他非法利益提供便利；</w:t>
            </w:r>
          </w:p>
          <w:p>
            <w:pPr>
              <w:numPr>
                <w:ilvl w:val="0"/>
                <w:numId w:val="1"/>
              </w:numPr>
            </w:pPr>
            <w:r>
              <w:rPr>
                <w:rFonts w:hint="eastAsia"/>
              </w:rPr>
              <w:t>将不属于医保基金支付范围的医药费用纳入医保基金结算；</w:t>
            </w:r>
          </w:p>
          <w:p>
            <w:pPr>
              <w:pStyle w:val="3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/>
                <w:b w:val="0"/>
                <w:bCs w:val="0"/>
                <w:sz w:val="21"/>
                <w:szCs w:val="24"/>
              </w:rPr>
              <w:t>（七）造成医保基金损失的其他违法行为</w:t>
            </w:r>
          </w:p>
        </w:tc>
        <w:tc>
          <w:tcPr>
            <w:tcW w:w="3960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1.定点医药机构主动自查自纠发现违规医保基金在10万元以下并及时退回的，约谈有关负责人。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</w:rPr>
              <w:t>2.在行政检查中发现的违法行为，同时满足以下情形，约谈有关负责人：①首次出现；②属于个别人或个别部门行为；③造成医保基金损失在5000元以下；④未发现以骗取医保基金为目的；⑤及时退回。</w:t>
            </w:r>
          </w:p>
        </w:tc>
        <w:tc>
          <w:tcPr>
            <w:tcW w:w="3433" w:type="dxa"/>
            <w:vAlign w:val="center"/>
          </w:tcPr>
          <w:p>
            <w:pPr>
              <w:widowControl/>
              <w:jc w:val="left"/>
              <w:textAlignment w:val="center"/>
            </w:pPr>
            <w:r>
              <w:rPr>
                <w:rFonts w:hint="eastAsia"/>
              </w:rPr>
              <w:t>1.《医疗保障基金使用监督管理条例》第三十八条；</w:t>
            </w:r>
          </w:p>
          <w:p>
            <w:pPr>
              <w:pStyle w:val="3"/>
              <w:rPr>
                <w:b w:val="0"/>
                <w:bCs w:val="0"/>
                <w:sz w:val="21"/>
                <w:szCs w:val="24"/>
              </w:rPr>
            </w:pPr>
            <w:r>
              <w:rPr>
                <w:rFonts w:hint="eastAsia"/>
                <w:b w:val="0"/>
                <w:bCs w:val="0"/>
                <w:sz w:val="21"/>
                <w:szCs w:val="24"/>
              </w:rPr>
              <w:t>2.《江西省医疗保障基金监管行政处罚裁量权实施细则（试行）》第一章第二条裁量细则（一）；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pacing w:val="-11"/>
                <w:kern w:val="0"/>
                <w:szCs w:val="21"/>
              </w:rPr>
              <w:t>3.《行政处罚法》第十三条第一款</w:t>
            </w:r>
          </w:p>
        </w:tc>
      </w:tr>
    </w:tbl>
    <w:p>
      <w:pPr>
        <w:pStyle w:val="2"/>
        <w:rPr>
          <w:rFonts w:hint="default" w:ascii="仿宋_GB2312" w:hAnsi="仿宋_GB2312" w:eastAsia="仿宋_GB2312" w:cs="仿宋_GB231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1" w:name="_GoBack"/>
      <w:bookmarkEnd w:id="1"/>
    </w:p>
    <w:p>
      <w:pPr>
        <w:pStyle w:val="2"/>
        <w:rPr>
          <w:rFonts w:hint="default" w:ascii="仿宋_GB2312" w:hAnsi="仿宋_GB2312" w:eastAsia="仿宋_GB2312" w:cs="仿宋_GB2312"/>
          <w:sz w:val="32"/>
          <w:szCs w:val="32"/>
        </w:rPr>
      </w:pPr>
      <w:bookmarkStart w:id="0" w:name="End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75042E"/>
    <w:multiLevelType w:val="singleLevel"/>
    <w:tmpl w:val="DE75042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QyZmI1NTIyN2M3ZDRhMzA1ZjA1MGEyMjUxYTMzNzUifQ=="/>
  </w:docVars>
  <w:rsids>
    <w:rsidRoot w:val="277A405B"/>
    <w:rsid w:val="002F112A"/>
    <w:rsid w:val="006A5CFA"/>
    <w:rsid w:val="00CF11FF"/>
    <w:rsid w:val="00F86036"/>
    <w:rsid w:val="029C79C2"/>
    <w:rsid w:val="05556CD7"/>
    <w:rsid w:val="07473E55"/>
    <w:rsid w:val="089222EB"/>
    <w:rsid w:val="09EF5115"/>
    <w:rsid w:val="10BA7430"/>
    <w:rsid w:val="127D4F2B"/>
    <w:rsid w:val="13820DFB"/>
    <w:rsid w:val="14487CBE"/>
    <w:rsid w:val="15C6316B"/>
    <w:rsid w:val="15CC145E"/>
    <w:rsid w:val="17702D05"/>
    <w:rsid w:val="17DA3CDB"/>
    <w:rsid w:val="198A52E7"/>
    <w:rsid w:val="1A9A7DEE"/>
    <w:rsid w:val="1DBF2934"/>
    <w:rsid w:val="1E766E9A"/>
    <w:rsid w:val="1E885AFE"/>
    <w:rsid w:val="22043B95"/>
    <w:rsid w:val="240D256E"/>
    <w:rsid w:val="277A405B"/>
    <w:rsid w:val="2890655A"/>
    <w:rsid w:val="28D109DE"/>
    <w:rsid w:val="2A0B0B3D"/>
    <w:rsid w:val="2B3910C5"/>
    <w:rsid w:val="2CC12B91"/>
    <w:rsid w:val="2DDD788B"/>
    <w:rsid w:val="2EEB7CC7"/>
    <w:rsid w:val="310D116C"/>
    <w:rsid w:val="314A1B30"/>
    <w:rsid w:val="322625A9"/>
    <w:rsid w:val="35F5486E"/>
    <w:rsid w:val="37123005"/>
    <w:rsid w:val="377C3879"/>
    <w:rsid w:val="38197D2B"/>
    <w:rsid w:val="38D2656D"/>
    <w:rsid w:val="39EA6ABE"/>
    <w:rsid w:val="3DAC6D15"/>
    <w:rsid w:val="3F9F2F35"/>
    <w:rsid w:val="403C1BB0"/>
    <w:rsid w:val="449E107B"/>
    <w:rsid w:val="46C96943"/>
    <w:rsid w:val="46F03558"/>
    <w:rsid w:val="472D0E30"/>
    <w:rsid w:val="482817F5"/>
    <w:rsid w:val="4A462798"/>
    <w:rsid w:val="4AEF0128"/>
    <w:rsid w:val="4FA83198"/>
    <w:rsid w:val="512D61EC"/>
    <w:rsid w:val="51D01132"/>
    <w:rsid w:val="52096E78"/>
    <w:rsid w:val="520B3AAA"/>
    <w:rsid w:val="53BD3AA8"/>
    <w:rsid w:val="5A1A62C1"/>
    <w:rsid w:val="5BA3090F"/>
    <w:rsid w:val="5C0006D6"/>
    <w:rsid w:val="5D950708"/>
    <w:rsid w:val="5E020E59"/>
    <w:rsid w:val="5F057D1D"/>
    <w:rsid w:val="5F96324E"/>
    <w:rsid w:val="61904BB4"/>
    <w:rsid w:val="61DA1B88"/>
    <w:rsid w:val="62835E6E"/>
    <w:rsid w:val="659B3693"/>
    <w:rsid w:val="66502E76"/>
    <w:rsid w:val="69174890"/>
    <w:rsid w:val="6D3A160D"/>
    <w:rsid w:val="741E4BAD"/>
    <w:rsid w:val="742E3B54"/>
    <w:rsid w:val="74314924"/>
    <w:rsid w:val="77A31AC0"/>
    <w:rsid w:val="781C5975"/>
    <w:rsid w:val="78B040AA"/>
    <w:rsid w:val="7E283014"/>
    <w:rsid w:val="7E8819ED"/>
    <w:rsid w:val="7EF64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5"/>
    <w:basedOn w:val="1"/>
    <w:next w:val="1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paragraph" w:styleId="4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character" w:customStyle="1" w:styleId="9">
    <w:name w:val="页眉 Char"/>
    <w:basedOn w:val="8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8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129</Words>
  <Characters>740</Characters>
  <Lines>6</Lines>
  <Paragraphs>1</Paragraphs>
  <TotalTime>9</TotalTime>
  <ScaleCrop>false</ScaleCrop>
  <LinksUpToDate>false</LinksUpToDate>
  <CharactersWithSpaces>868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2022-09-06T07:15:00Z</dcterms:created>
  <dc:creator>zhangqianya</dc:creator>
  <cp:lastModifiedBy>zhangqianya</cp:lastModifiedBy>
  <dcterms:modified xsi:type="dcterms:W3CDTF">2023-10-24T01:31:49Z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80AA445127D5473786997A09050701F7</vt:lpwstr>
  </property>
</Properties>
</file>