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仿宋_GB2312"/>
          <w:b/>
          <w:bCs/>
          <w:sz w:val="32"/>
          <w:szCs w:val="28"/>
        </w:rPr>
      </w:pPr>
      <w:r>
        <w:rPr>
          <w:rFonts w:hint="eastAsia" w:ascii="黑体" w:hAnsi="黑体" w:eastAsia="黑体" w:cs="仿宋_GB2312"/>
          <w:sz w:val="32"/>
          <w:szCs w:val="28"/>
        </w:rPr>
        <w:t>附件6</w:t>
      </w:r>
    </w:p>
    <w:p>
      <w:pPr>
        <w:spacing w:line="578" w:lineRule="exact"/>
        <w:jc w:val="center"/>
        <w:rPr>
          <w:rFonts w:ascii="仿宋" w:hAnsi="仿宋" w:eastAsia="仿宋"/>
          <w:b/>
          <w:bCs/>
          <w:sz w:val="44"/>
          <w:szCs w:val="44"/>
        </w:rPr>
      </w:pPr>
    </w:p>
    <w:p>
      <w:pPr>
        <w:spacing w:line="578" w:lineRule="exact"/>
        <w:jc w:val="center"/>
        <w:rPr>
          <w:rFonts w:ascii="方正小标宋简体" w:hAnsi="方正小标宋简体" w:eastAsia="方正小标宋简体"/>
          <w:sz w:val="44"/>
          <w:szCs w:val="44"/>
        </w:rPr>
      </w:pPr>
      <w:r>
        <w:rPr>
          <w:rFonts w:hint="eastAsia" w:ascii="方正小标宋简体" w:hAnsi="方正小标宋简体" w:eastAsia="方正小标宋简体" w:cs="方正小标宋简体"/>
          <w:sz w:val="44"/>
          <w:szCs w:val="44"/>
        </w:rPr>
        <w:t>部门评价报告</w:t>
      </w:r>
    </w:p>
    <w:p>
      <w:pPr>
        <w:spacing w:line="578" w:lineRule="exact"/>
        <w:rPr>
          <w:rFonts w:ascii="仿宋" w:hAnsi="仿宋" w:eastAsia="仿宋"/>
          <w:szCs w:val="32"/>
        </w:rPr>
      </w:pPr>
    </w:p>
    <w:p>
      <w:pPr>
        <w:spacing w:line="578" w:lineRule="exact"/>
        <w:rPr>
          <w:rFonts w:ascii="仿宋" w:hAnsi="仿宋" w:eastAsia="仿宋" w:cs="仿宋"/>
          <w:sz w:val="28"/>
          <w:szCs w:val="32"/>
          <w:u w:val="single"/>
        </w:rPr>
      </w:pPr>
      <w:r>
        <w:rPr>
          <w:rFonts w:hint="eastAsia" w:ascii="仿宋" w:hAnsi="仿宋" w:eastAsia="仿宋" w:cs="仿宋"/>
          <w:szCs w:val="32"/>
        </w:rPr>
        <w:t xml:space="preserve">         </w:t>
      </w:r>
      <w:r>
        <w:rPr>
          <w:rFonts w:hint="eastAsia" w:ascii="仿宋" w:hAnsi="仿宋" w:eastAsia="仿宋" w:cs="仿宋"/>
          <w:sz w:val="28"/>
          <w:szCs w:val="32"/>
        </w:rPr>
        <w:t>评价类型：</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实施过程评价</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完成结果评价</w:t>
      </w:r>
    </w:p>
    <w:p>
      <w:pPr>
        <w:spacing w:line="578" w:lineRule="exact"/>
        <w:rPr>
          <w:rFonts w:ascii="仿宋" w:hAnsi="仿宋" w:eastAsia="仿宋" w:cs="仿宋"/>
          <w:sz w:val="28"/>
          <w:szCs w:val="32"/>
        </w:rPr>
      </w:pPr>
      <w:r>
        <w:rPr>
          <w:rFonts w:hint="eastAsia" w:ascii="仿宋" w:hAnsi="仿宋" w:eastAsia="仿宋" w:cs="仿宋"/>
          <w:sz w:val="28"/>
          <w:szCs w:val="32"/>
        </w:rPr>
        <w:t xml:space="preserve">       项目名称： </w:t>
      </w:r>
      <w:r>
        <w:rPr>
          <w:rFonts w:hint="eastAsia" w:ascii="仿宋" w:hAnsi="仿宋" w:eastAsia="仿宋" w:cs="仿宋"/>
          <w:sz w:val="28"/>
          <w:szCs w:val="32"/>
          <w:u w:val="single"/>
          <w:lang w:eastAsia="zh-CN"/>
        </w:rPr>
        <w:t>抱石书屋项目</w:t>
      </w:r>
      <w:r>
        <w:rPr>
          <w:rFonts w:hint="eastAsia" w:ascii="仿宋" w:hAnsi="仿宋" w:eastAsia="仿宋" w:cs="仿宋"/>
          <w:sz w:val="28"/>
          <w:szCs w:val="32"/>
          <w:u w:val="single"/>
        </w:rPr>
        <w:t xml:space="preserve">                                   </w:t>
      </w:r>
    </w:p>
    <w:p>
      <w:pPr>
        <w:spacing w:line="578" w:lineRule="exact"/>
        <w:rPr>
          <w:rFonts w:ascii="仿宋" w:hAnsi="仿宋" w:eastAsia="仿宋" w:cs="仿宋"/>
          <w:sz w:val="28"/>
          <w:szCs w:val="32"/>
        </w:rPr>
      </w:pPr>
      <w:r>
        <w:rPr>
          <w:rFonts w:hint="eastAsia" w:ascii="仿宋" w:hAnsi="仿宋" w:eastAsia="仿宋" w:cs="仿宋"/>
          <w:sz w:val="28"/>
          <w:szCs w:val="32"/>
        </w:rPr>
        <w:t xml:space="preserve">       项目单位： </w:t>
      </w:r>
      <w:r>
        <w:rPr>
          <w:rFonts w:hint="eastAsia" w:ascii="仿宋" w:hAnsi="仿宋" w:eastAsia="仿宋" w:cs="仿宋"/>
          <w:sz w:val="28"/>
          <w:szCs w:val="32"/>
          <w:u w:val="single"/>
        </w:rPr>
        <w:t xml:space="preserve"> 渝水区</w:t>
      </w:r>
      <w:r>
        <w:rPr>
          <w:rFonts w:hint="eastAsia" w:ascii="仿宋" w:hAnsi="仿宋" w:eastAsia="仿宋" w:cs="仿宋"/>
          <w:sz w:val="28"/>
          <w:szCs w:val="32"/>
          <w:u w:val="single"/>
          <w:lang w:eastAsia="zh-CN"/>
        </w:rPr>
        <w:t>图书馆、龙泉湾社区</w:t>
      </w:r>
      <w:r>
        <w:rPr>
          <w:rFonts w:hint="eastAsia" w:ascii="仿宋" w:hAnsi="仿宋" w:eastAsia="仿宋" w:cs="仿宋"/>
          <w:sz w:val="28"/>
          <w:szCs w:val="32"/>
          <w:u w:val="single"/>
        </w:rPr>
        <w:t xml:space="preserve">                                    </w:t>
      </w:r>
    </w:p>
    <w:p>
      <w:pPr>
        <w:spacing w:line="578" w:lineRule="exact"/>
        <w:rPr>
          <w:rFonts w:ascii="仿宋" w:hAnsi="仿宋" w:eastAsia="仿宋" w:cs="仿宋"/>
          <w:sz w:val="28"/>
          <w:szCs w:val="32"/>
        </w:rPr>
      </w:pPr>
      <w:r>
        <w:rPr>
          <w:rFonts w:hint="eastAsia" w:ascii="仿宋" w:hAnsi="仿宋" w:eastAsia="仿宋" w:cs="仿宋"/>
          <w:sz w:val="28"/>
          <w:szCs w:val="32"/>
        </w:rPr>
        <w:t xml:space="preserve">       主管部门： </w:t>
      </w:r>
      <w:r>
        <w:rPr>
          <w:rFonts w:hint="eastAsia" w:ascii="仿宋" w:hAnsi="仿宋" w:eastAsia="仿宋" w:cs="仿宋"/>
          <w:sz w:val="28"/>
          <w:szCs w:val="32"/>
          <w:u w:val="single"/>
        </w:rPr>
        <w:t xml:space="preserve"> 渝水区文广新旅局                                     </w:t>
      </w:r>
      <w:r>
        <w:rPr>
          <w:rFonts w:hint="eastAsia" w:ascii="仿宋" w:hAnsi="仿宋" w:eastAsia="仿宋" w:cs="仿宋"/>
          <w:sz w:val="28"/>
          <w:szCs w:val="32"/>
        </w:rPr>
        <w:t xml:space="preserve">  </w:t>
      </w:r>
    </w:p>
    <w:p>
      <w:pPr>
        <w:spacing w:line="578" w:lineRule="exact"/>
        <w:rPr>
          <w:rFonts w:ascii="仿宋" w:hAnsi="仿宋" w:eastAsia="仿宋" w:cs="仿宋"/>
          <w:sz w:val="28"/>
          <w:szCs w:val="32"/>
        </w:rPr>
      </w:pPr>
      <w:r>
        <w:rPr>
          <w:rFonts w:hint="eastAsia" w:ascii="仿宋" w:hAnsi="仿宋" w:eastAsia="仿宋" w:cs="仿宋"/>
          <w:sz w:val="28"/>
          <w:szCs w:val="32"/>
        </w:rPr>
        <w:t xml:space="preserve">       评价时间： </w:t>
      </w:r>
      <w:r>
        <w:rPr>
          <w:rFonts w:hint="eastAsia" w:ascii="仿宋" w:hAnsi="仿宋" w:eastAsia="仿宋" w:cs="仿宋"/>
          <w:sz w:val="28"/>
          <w:szCs w:val="32"/>
          <w:u w:val="single"/>
        </w:rPr>
        <w:t xml:space="preserve"> 202</w:t>
      </w:r>
      <w:r>
        <w:rPr>
          <w:rFonts w:hint="eastAsia" w:ascii="仿宋" w:hAnsi="仿宋" w:eastAsia="仿宋" w:cs="仿宋"/>
          <w:sz w:val="28"/>
          <w:szCs w:val="32"/>
          <w:u w:val="single"/>
          <w:lang w:val="en-US" w:eastAsia="zh-CN"/>
        </w:rPr>
        <w:t>3</w:t>
      </w:r>
      <w:r>
        <w:rPr>
          <w:rFonts w:hint="eastAsia" w:ascii="仿宋" w:hAnsi="仿宋" w:eastAsia="仿宋" w:cs="仿宋"/>
          <w:sz w:val="28"/>
          <w:szCs w:val="32"/>
          <w:u w:val="single"/>
        </w:rPr>
        <w:t>年1月 1日至 202</w:t>
      </w:r>
      <w:r>
        <w:rPr>
          <w:rFonts w:hint="eastAsia" w:ascii="仿宋" w:hAnsi="仿宋" w:eastAsia="仿宋" w:cs="仿宋"/>
          <w:sz w:val="28"/>
          <w:szCs w:val="32"/>
          <w:u w:val="single"/>
          <w:lang w:val="en-US" w:eastAsia="zh-CN"/>
        </w:rPr>
        <w:t>3</w:t>
      </w:r>
      <w:r>
        <w:rPr>
          <w:rFonts w:hint="eastAsia" w:ascii="仿宋" w:hAnsi="仿宋" w:eastAsia="仿宋" w:cs="仿宋"/>
          <w:sz w:val="28"/>
          <w:szCs w:val="32"/>
          <w:u w:val="single"/>
        </w:rPr>
        <w:t>年12月 31 日</w:t>
      </w:r>
    </w:p>
    <w:p>
      <w:pPr>
        <w:spacing w:line="578" w:lineRule="exact"/>
        <w:rPr>
          <w:rFonts w:ascii="仿宋" w:hAnsi="仿宋" w:eastAsia="仿宋" w:cs="仿宋"/>
          <w:sz w:val="28"/>
          <w:szCs w:val="32"/>
          <w:u w:val="single"/>
        </w:rPr>
      </w:pPr>
      <w:r>
        <w:rPr>
          <w:rFonts w:hint="eastAsia" w:ascii="仿宋" w:hAnsi="仿宋" w:eastAsia="仿宋" w:cs="仿宋"/>
          <w:sz w:val="28"/>
          <w:szCs w:val="32"/>
        </w:rPr>
        <w:t xml:space="preserve">       组织方式：</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 xml:space="preserve">财政部门 </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主管部门</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项目单位</w:t>
      </w:r>
    </w:p>
    <w:p>
      <w:pPr>
        <w:spacing w:line="578" w:lineRule="exact"/>
        <w:rPr>
          <w:rFonts w:ascii="仿宋" w:hAnsi="仿宋" w:eastAsia="仿宋" w:cs="仿宋"/>
          <w:sz w:val="28"/>
          <w:szCs w:val="32"/>
        </w:rPr>
      </w:pPr>
      <w:r>
        <w:rPr>
          <w:rFonts w:hint="eastAsia" w:ascii="仿宋" w:hAnsi="仿宋" w:eastAsia="仿宋" w:cs="仿宋"/>
          <w:sz w:val="28"/>
          <w:szCs w:val="32"/>
        </w:rPr>
        <w:t xml:space="preserve">       评价机构：</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 xml:space="preserve">第三方机构 </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 xml:space="preserve">专家组 </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项目单位评价组</w:t>
      </w:r>
    </w:p>
    <w:p>
      <w:pPr>
        <w:spacing w:line="578" w:lineRule="exact"/>
        <w:ind w:left="1100" w:hanging="1100" w:hangingChars="500"/>
        <w:rPr>
          <w:rFonts w:ascii="仿宋" w:hAnsi="仿宋" w:eastAsia="仿宋" w:cs="仿宋"/>
          <w:sz w:val="28"/>
          <w:szCs w:val="32"/>
        </w:rPr>
      </w:pPr>
      <w:r>
        <w:rPr>
          <w:rFonts w:hint="eastAsia" w:ascii="仿宋" w:hAnsi="仿宋" w:eastAsia="仿宋" w:cs="仿宋"/>
          <w:szCs w:val="32"/>
        </w:rPr>
        <w:t xml:space="preserve">         </w:t>
      </w:r>
      <w:r>
        <w:rPr>
          <w:rFonts w:hint="eastAsia" w:ascii="仿宋" w:hAnsi="仿宋" w:eastAsia="仿宋" w:cs="仿宋"/>
          <w:sz w:val="28"/>
          <w:szCs w:val="32"/>
        </w:rPr>
        <w:t>评价单位（盖章）：渝水区文广新旅局</w:t>
      </w:r>
    </w:p>
    <w:p>
      <w:pPr>
        <w:spacing w:line="578" w:lineRule="exact"/>
        <w:ind w:left="1400" w:hanging="1400" w:hangingChars="500"/>
        <w:rPr>
          <w:rFonts w:ascii="仿宋" w:hAnsi="仿宋" w:eastAsia="仿宋" w:cs="仿宋"/>
          <w:sz w:val="28"/>
          <w:szCs w:val="32"/>
        </w:rPr>
      </w:pPr>
      <w:r>
        <w:rPr>
          <w:rFonts w:hint="eastAsia" w:ascii="仿宋" w:hAnsi="仿宋" w:eastAsia="仿宋" w:cs="仿宋"/>
          <w:sz w:val="28"/>
          <w:szCs w:val="32"/>
        </w:rPr>
        <w:t xml:space="preserve">           上报时间：202</w:t>
      </w:r>
      <w:r>
        <w:rPr>
          <w:rFonts w:hint="eastAsia" w:ascii="仿宋" w:hAnsi="仿宋" w:eastAsia="仿宋" w:cs="仿宋"/>
          <w:sz w:val="28"/>
          <w:szCs w:val="32"/>
          <w:lang w:val="en-US" w:eastAsia="zh-CN"/>
        </w:rPr>
        <w:t>4</w:t>
      </w:r>
      <w:r>
        <w:rPr>
          <w:rFonts w:hint="eastAsia" w:ascii="仿宋" w:hAnsi="仿宋" w:eastAsia="仿宋" w:cs="仿宋"/>
          <w:sz w:val="28"/>
          <w:szCs w:val="32"/>
        </w:rPr>
        <w:t>.</w:t>
      </w:r>
      <w:r>
        <w:rPr>
          <w:rFonts w:hint="eastAsia" w:ascii="仿宋" w:hAnsi="仿宋" w:eastAsia="仿宋" w:cs="仿宋"/>
          <w:sz w:val="28"/>
          <w:szCs w:val="32"/>
          <w:lang w:val="en-US" w:eastAsia="zh-CN"/>
        </w:rPr>
        <w:t>4</w:t>
      </w:r>
      <w:r>
        <w:rPr>
          <w:rFonts w:hint="eastAsia" w:ascii="仿宋" w:hAnsi="仿宋" w:eastAsia="仿宋" w:cs="仿宋"/>
          <w:sz w:val="28"/>
          <w:szCs w:val="32"/>
        </w:rPr>
        <w:t>.15</w:t>
      </w:r>
    </w:p>
    <w:p>
      <w:pPr>
        <w:spacing w:line="400" w:lineRule="exact"/>
        <w:rPr>
          <w:rFonts w:ascii="仿宋" w:hAnsi="仿宋" w:eastAsia="仿宋" w:cs="仿宋"/>
          <w:szCs w:val="32"/>
        </w:rPr>
      </w:pPr>
    </w:p>
    <w:p>
      <w:pPr>
        <w:jc w:val="center"/>
        <w:rPr>
          <w:rFonts w:ascii="仿宋" w:hAnsi="仿宋" w:eastAsia="仿宋" w:cs="仿宋"/>
          <w:szCs w:val="32"/>
        </w:rPr>
      </w:pPr>
      <w:r>
        <w:rPr>
          <w:rFonts w:hint="eastAsia" w:ascii="仿宋" w:hAnsi="仿宋" w:eastAsia="仿宋" w:cs="仿宋"/>
          <w:szCs w:val="32"/>
        </w:rPr>
        <w:br w:type="page"/>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渝水区文广新旅局202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年部门评价报告</w:t>
      </w:r>
    </w:p>
    <w:p>
      <w:pPr>
        <w:jc w:val="center"/>
        <w:rPr>
          <w:rFonts w:ascii="楷体" w:hAnsi="楷体" w:eastAsia="楷体" w:cs="方正小标宋简体"/>
          <w:sz w:val="32"/>
          <w:szCs w:val="32"/>
        </w:rPr>
      </w:pPr>
      <w:r>
        <w:rPr>
          <w:rFonts w:hint="eastAsia" w:ascii="楷体" w:hAnsi="楷体" w:eastAsia="楷体" w:cs="方正小标宋简体"/>
          <w:sz w:val="32"/>
          <w:szCs w:val="32"/>
        </w:rPr>
        <w:t>（</w:t>
      </w:r>
      <w:r>
        <w:rPr>
          <w:rFonts w:hint="eastAsia" w:ascii="楷体" w:hAnsi="楷体" w:eastAsia="楷体"/>
          <w:sz w:val="32"/>
          <w:szCs w:val="32"/>
          <w:lang w:eastAsia="zh-CN"/>
        </w:rPr>
        <w:t>抱石书屋项目</w:t>
      </w:r>
      <w:r>
        <w:rPr>
          <w:rFonts w:hint="eastAsia" w:ascii="楷体" w:hAnsi="楷体" w:eastAsia="楷体" w:cs="方正小标宋简体"/>
          <w:sz w:val="32"/>
          <w:szCs w:val="32"/>
        </w:rPr>
        <w:t>）</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一、基本情况</w:t>
      </w:r>
    </w:p>
    <w:p>
      <w:pPr>
        <w:spacing w:after="0" w:line="600" w:lineRule="exact"/>
        <w:ind w:firstLine="643" w:firstLineChars="200"/>
        <w:jc w:val="both"/>
        <w:rPr>
          <w:rFonts w:ascii="楷体" w:hAnsi="楷体" w:eastAsia="楷体"/>
          <w:b/>
          <w:sz w:val="32"/>
          <w:szCs w:val="32"/>
        </w:rPr>
      </w:pPr>
      <w:r>
        <w:rPr>
          <w:rFonts w:hint="eastAsia" w:ascii="楷体" w:hAnsi="楷体" w:eastAsia="楷体"/>
          <w:b/>
          <w:sz w:val="32"/>
          <w:szCs w:val="32"/>
        </w:rPr>
        <w:t>（一）项目概况。包括项目背景、主要内容及实施情况、资金投入和使用情况等。</w:t>
      </w:r>
    </w:p>
    <w:p>
      <w:pPr>
        <w:spacing w:after="0" w:line="600" w:lineRule="exact"/>
        <w:ind w:firstLine="643" w:firstLineChars="200"/>
        <w:jc w:val="both"/>
        <w:rPr>
          <w:rFonts w:hint="eastAsia" w:ascii="仿宋" w:hAnsi="仿宋" w:eastAsia="仿宋"/>
          <w:b/>
          <w:sz w:val="32"/>
          <w:szCs w:val="32"/>
        </w:rPr>
      </w:pPr>
      <w:r>
        <w:rPr>
          <w:rFonts w:hint="eastAsia" w:ascii="仿宋" w:hAnsi="仿宋" w:eastAsia="仿宋"/>
          <w:b/>
          <w:sz w:val="32"/>
          <w:szCs w:val="32"/>
        </w:rPr>
        <w:t>1.项目背景</w:t>
      </w:r>
    </w:p>
    <w:p>
      <w:pPr>
        <w:keepNext w:val="0"/>
        <w:keepLines w:val="0"/>
        <w:pageBreakBefore w:val="0"/>
        <w:widowControl w:val="0"/>
        <w:kinsoku/>
        <w:wordWrap/>
        <w:overflowPunct w:val="0"/>
        <w:topLinePunct/>
        <w:autoSpaceDE/>
        <w:autoSpaceDN/>
        <w:bidi w:val="0"/>
        <w:adjustRightInd w:val="0"/>
        <w:snapToGrid w:val="0"/>
        <w:spacing w:after="0" w:line="600" w:lineRule="exact"/>
        <w:ind w:right="0" w:rightChars="0" w:firstLine="640" w:firstLineChars="200"/>
        <w:jc w:val="both"/>
        <w:textAlignment w:val="auto"/>
        <w:outlineLvl w:val="2"/>
        <w:rPr>
          <w:rFonts w:hint="eastAsia" w:ascii="仿宋" w:hAnsi="仿宋" w:eastAsia="仿宋"/>
          <w:sz w:val="32"/>
          <w:szCs w:val="32"/>
        </w:rPr>
      </w:pPr>
      <w:r>
        <w:rPr>
          <w:rFonts w:hint="eastAsia" w:ascii="仿宋" w:hAnsi="仿宋" w:eastAsia="仿宋"/>
          <w:sz w:val="32"/>
          <w:szCs w:val="32"/>
        </w:rPr>
        <w:t>阅读早已成为国家层面文化发展的关键词。近年来，我国从政府立法层面，以国家战略高度，推进和保障全民阅读工作。先是《全民阅读促进条例》通过并实施，紧接着，文化和旅游部、发改委等部门联合印发《关于推动公共文化服务高质量发展的意见》，提出要“创新打造城市书房、文化驿站等新型文化业态”。当下，阅读已成为推动社会内在发展的一种趋势，而提供最为便捷的阅读场馆和服务成为城市公共文化发展的重要方向。</w:t>
      </w:r>
    </w:p>
    <w:p>
      <w:pPr>
        <w:keepNext w:val="0"/>
        <w:keepLines w:val="0"/>
        <w:pageBreakBefore w:val="0"/>
        <w:widowControl w:val="0"/>
        <w:kinsoku/>
        <w:wordWrap/>
        <w:overflowPunct w:val="0"/>
        <w:topLinePunct/>
        <w:autoSpaceDE/>
        <w:autoSpaceDN/>
        <w:bidi w:val="0"/>
        <w:adjustRightInd w:val="0"/>
        <w:snapToGrid w:val="0"/>
        <w:spacing w:after="0" w:line="600" w:lineRule="exact"/>
        <w:ind w:right="0" w:rightChars="0" w:firstLine="640" w:firstLineChars="200"/>
        <w:jc w:val="both"/>
        <w:textAlignment w:val="auto"/>
        <w:outlineLvl w:val="2"/>
        <w:rPr>
          <w:rFonts w:hint="eastAsia" w:ascii="仿宋" w:hAnsi="仿宋" w:eastAsia="仿宋"/>
          <w:sz w:val="32"/>
          <w:szCs w:val="32"/>
        </w:rPr>
      </w:pPr>
      <w:r>
        <w:rPr>
          <w:rFonts w:hint="eastAsia" w:ascii="仿宋" w:hAnsi="仿宋" w:eastAsia="仿宋"/>
          <w:sz w:val="32"/>
          <w:szCs w:val="32"/>
        </w:rPr>
        <w:t>在当前信息化、数字化的时代背景下，传统的阅读方式和图书馆服务模式已经无法满足人们日益增长的文化需求。江西省委宣传部、省文化和旅游厅提出的《关于加强城市智慧书屋建设的实施意见》正是为了应对这一挑战，推动公共文化服务的创新发展。渝水区政府积极响应，投资75万元建设“</w:t>
      </w:r>
      <w:r>
        <w:rPr>
          <w:rFonts w:hint="eastAsia" w:ascii="仿宋" w:hAnsi="仿宋" w:eastAsia="仿宋"/>
          <w:sz w:val="32"/>
          <w:szCs w:val="32"/>
          <w:lang w:val="en-US" w:eastAsia="zh-CN"/>
        </w:rPr>
        <w:t>龙泉湾</w:t>
      </w:r>
      <w:r>
        <w:rPr>
          <w:rFonts w:hint="eastAsia" w:ascii="仿宋" w:hAnsi="仿宋" w:eastAsia="仿宋"/>
          <w:sz w:val="32"/>
          <w:szCs w:val="32"/>
        </w:rPr>
        <w:t>抱石书房”，旨在打造一个集阅读、休闲、交流为一体的新型城市阅读空间，为市民提供一个舒适、便捷的阅读环境。</w:t>
      </w:r>
    </w:p>
    <w:p>
      <w:pPr>
        <w:spacing w:after="0" w:line="600" w:lineRule="exact"/>
        <w:ind w:firstLine="643" w:firstLineChars="200"/>
        <w:jc w:val="both"/>
        <w:rPr>
          <w:rFonts w:hint="eastAsia" w:ascii="仿宋" w:hAnsi="仿宋" w:eastAsia="仿宋"/>
          <w:b/>
          <w:sz w:val="32"/>
          <w:szCs w:val="32"/>
        </w:rPr>
      </w:pPr>
      <w:r>
        <w:rPr>
          <w:rFonts w:hint="eastAsia" w:ascii="仿宋" w:hAnsi="仿宋" w:eastAsia="仿宋"/>
          <w:b/>
          <w:sz w:val="32"/>
          <w:szCs w:val="32"/>
          <w:lang w:val="en-US" w:eastAsia="zh-CN"/>
        </w:rPr>
        <w:t xml:space="preserve"> 2.</w:t>
      </w:r>
      <w:r>
        <w:rPr>
          <w:rFonts w:hint="eastAsia" w:ascii="仿宋" w:hAnsi="仿宋" w:eastAsia="仿宋"/>
          <w:b/>
          <w:sz w:val="32"/>
          <w:szCs w:val="32"/>
        </w:rPr>
        <w:t>项目主要内容及实施情况</w:t>
      </w:r>
    </w:p>
    <w:p>
      <w:pPr>
        <w:spacing w:after="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渝水区“抱石书房”建设项目是渝水区文旅民生项目，</w:t>
      </w:r>
      <w:r>
        <w:rPr>
          <w:rFonts w:hint="eastAsia" w:ascii="仿宋" w:hAnsi="仿宋" w:eastAsia="仿宋"/>
          <w:sz w:val="32"/>
          <w:szCs w:val="32"/>
          <w:lang w:eastAsia="zh-CN"/>
        </w:rPr>
        <w:t>位于</w:t>
      </w:r>
      <w:r>
        <w:rPr>
          <w:rFonts w:hint="eastAsia" w:ascii="仿宋" w:hAnsi="仿宋" w:eastAsia="仿宋"/>
          <w:sz w:val="32"/>
          <w:szCs w:val="32"/>
        </w:rPr>
        <w:t>新余市渝水区城北街道龙泉湾社区，由社区大楼东面架空层既有建筑改造建设而成，总面积242平方米（其中一楼171平方米，二楼71平方米），工程投资总额75万元，由大众阅读区、少儿阅读区、服务吧台、二楼休闲区等功能分区组成，将引进了智能化图书馆设备如自助借还书机、馆员工作站、安全门禁等智能化设备，实现数字化自动化。</w:t>
      </w:r>
    </w:p>
    <w:p>
      <w:pPr>
        <w:spacing w:after="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龙泉湾抱石书房项目已于2023年11月18日开工建设，于12月20日基本建成。抱石书房已上架纸质图书10000余册，电子图书32000余册（其中设备自带2000册，网络30000册），阅览坐席100余个，于2024年元旦（1月1日）图书上架并对市民免费开放。书房以打造“渝·悦”新型城市阅读空间为理念面向公众免费开放，成功将以新余四中、逸夫小学为核心的龙泉湾社区、北湖缔景社区等人口稠密区纳入了“十五分钟阅读圈”的服务半径中，逐步实现公共文化服务便捷化、均等化、社会化。</w:t>
      </w:r>
    </w:p>
    <w:p>
      <w:pPr>
        <w:spacing w:after="0" w:line="600" w:lineRule="exact"/>
        <w:ind w:firstLine="640" w:firstLineChars="200"/>
        <w:jc w:val="both"/>
        <w:rPr>
          <w:rFonts w:hint="eastAsia" w:ascii="仿宋" w:hAnsi="仿宋" w:eastAsia="仿宋"/>
          <w:sz w:val="32"/>
          <w:szCs w:val="32"/>
          <w:lang w:val="en-US" w:eastAsia="zh-CN"/>
        </w:rPr>
      </w:pPr>
      <w:r>
        <w:rPr>
          <w:rFonts w:hint="eastAsia" w:ascii="仿宋" w:hAnsi="仿宋" w:eastAsia="仿宋"/>
          <w:sz w:val="32"/>
          <w:szCs w:val="32"/>
        </w:rPr>
        <w:t>自建成投入使用后，贴近社区引导广大市民重视阅读，提高渝水区市民文化素质和素养，培育全民读书的社会氛围。满足了广大群众日益增长的精神文化生活需求，实现公共服务阵地资源利用最大化，推动公共文化服务高质量发展，获得了社区群众的一致好评，满意度达到90%以上</w:t>
      </w:r>
      <w:r>
        <w:rPr>
          <w:rFonts w:hint="eastAsia" w:ascii="仿宋" w:hAnsi="仿宋" w:eastAsia="仿宋"/>
          <w:sz w:val="32"/>
          <w:szCs w:val="32"/>
          <w:lang w:eastAsia="zh-CN"/>
        </w:rPr>
        <w:t>。</w:t>
      </w:r>
    </w:p>
    <w:p>
      <w:pPr>
        <w:spacing w:after="0" w:line="600" w:lineRule="exact"/>
        <w:ind w:firstLine="643" w:firstLineChars="200"/>
        <w:jc w:val="both"/>
        <w:rPr>
          <w:rFonts w:hint="eastAsia" w:ascii="仿宋" w:hAnsi="仿宋" w:eastAsia="仿宋"/>
          <w:b/>
          <w:bCs/>
          <w:sz w:val="32"/>
          <w:szCs w:val="32"/>
        </w:rPr>
      </w:pPr>
      <w:r>
        <w:rPr>
          <w:rFonts w:hint="eastAsia" w:ascii="仿宋" w:hAnsi="仿宋" w:eastAsia="仿宋"/>
          <w:b/>
          <w:bCs/>
          <w:sz w:val="32"/>
          <w:szCs w:val="32"/>
        </w:rPr>
        <w:t>3.资金投入及使用情况</w:t>
      </w:r>
    </w:p>
    <w:p>
      <w:pPr>
        <w:pStyle w:val="2"/>
        <w:shd w:val="clear" w:color="auto" w:fill="FFFFFF"/>
        <w:spacing w:before="0" w:beforeAutospacing="0" w:after="0" w:afterAutospacing="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（1）项目资金到位情况</w:t>
      </w:r>
    </w:p>
    <w:p>
      <w:pPr>
        <w:pStyle w:val="2"/>
        <w:shd w:val="clear" w:color="auto" w:fill="FFFFFF"/>
        <w:spacing w:before="0" w:beforeAutospacing="0" w:after="0" w:afterAutospacing="0" w:line="600" w:lineRule="exact"/>
        <w:ind w:firstLine="640" w:firstLineChars="200"/>
        <w:jc w:val="both"/>
        <w:rPr>
          <w:rFonts w:hint="eastAsia" w:ascii="仿宋" w:hAnsi="仿宋" w:eastAsia="仿宋" w:cstheme="minorBidi"/>
          <w:sz w:val="32"/>
          <w:szCs w:val="32"/>
          <w:lang w:val="en-US" w:eastAsia="zh-CN" w:bidi="ar-SA"/>
        </w:rPr>
      </w:pPr>
      <w:r>
        <w:rPr>
          <w:rFonts w:hint="eastAsia" w:ascii="仿宋" w:hAnsi="仿宋" w:eastAsia="仿宋" w:cstheme="minorBidi"/>
          <w:sz w:val="32"/>
          <w:szCs w:val="32"/>
          <w:lang w:val="en-US" w:eastAsia="zh-CN" w:bidi="ar-SA"/>
        </w:rPr>
        <w:t>2023年度项目资金预算75万元，为中央彩票公益金，资金到位率为100.00%，资金到位及时。</w:t>
      </w:r>
    </w:p>
    <w:p>
      <w:pPr>
        <w:spacing w:after="0" w:line="600" w:lineRule="exact"/>
        <w:ind w:firstLine="640" w:firstLineChars="200"/>
        <w:jc w:val="both"/>
        <w:rPr>
          <w:rFonts w:hint="eastAsia" w:ascii="仿宋" w:hAnsi="仿宋" w:eastAsia="仿宋" w:cstheme="minorBidi"/>
          <w:sz w:val="32"/>
          <w:szCs w:val="32"/>
          <w:lang w:val="en-US" w:eastAsia="zh-CN" w:bidi="ar-SA"/>
        </w:rPr>
      </w:pPr>
      <w:r>
        <w:rPr>
          <w:rFonts w:hint="eastAsia" w:ascii="仿宋" w:hAnsi="仿宋" w:eastAsia="仿宋" w:cstheme="minorBidi"/>
          <w:sz w:val="32"/>
          <w:szCs w:val="32"/>
          <w:lang w:val="en-US" w:eastAsia="zh-CN" w:bidi="ar-SA"/>
        </w:rPr>
        <w:t>（2）项目资金使用情况</w:t>
      </w:r>
    </w:p>
    <w:p>
      <w:pPr>
        <w:spacing w:after="0" w:line="600" w:lineRule="exact"/>
        <w:ind w:firstLine="640" w:firstLineChars="200"/>
        <w:jc w:val="both"/>
        <w:rPr>
          <w:rFonts w:ascii="仿宋" w:hAnsi="仿宋" w:eastAsia="仿宋" w:cs="宋体"/>
          <w:sz w:val="32"/>
          <w:szCs w:val="32"/>
        </w:rPr>
      </w:pPr>
      <w:r>
        <w:rPr>
          <w:rFonts w:hint="eastAsia" w:ascii="仿宋" w:hAnsi="仿宋" w:eastAsia="仿宋" w:cs="宋体"/>
          <w:sz w:val="32"/>
          <w:szCs w:val="32"/>
        </w:rPr>
        <w:t>项目资金实际支出</w:t>
      </w:r>
      <w:r>
        <w:rPr>
          <w:rFonts w:hint="eastAsia" w:ascii="仿宋" w:hAnsi="仿宋" w:eastAsia="仿宋" w:cs="宋体"/>
          <w:sz w:val="32"/>
          <w:szCs w:val="32"/>
          <w:lang w:val="en-US" w:eastAsia="zh-CN"/>
        </w:rPr>
        <w:t>75</w:t>
      </w:r>
      <w:r>
        <w:rPr>
          <w:rFonts w:hint="eastAsia" w:ascii="仿宋" w:hAnsi="仿宋" w:eastAsia="仿宋" w:cs="宋体"/>
          <w:sz w:val="32"/>
          <w:szCs w:val="32"/>
        </w:rPr>
        <w:t>万元，</w:t>
      </w:r>
      <w:r>
        <w:rPr>
          <w:rFonts w:hint="eastAsia" w:ascii="仿宋" w:hAnsi="仿宋" w:eastAsia="仿宋" w:cs="宋体"/>
          <w:sz w:val="32"/>
          <w:szCs w:val="32"/>
          <w:lang w:eastAsia="zh-CN"/>
        </w:rPr>
        <w:t>用于建设龙泉湾社区书房</w:t>
      </w:r>
      <w:r>
        <w:rPr>
          <w:rFonts w:hint="eastAsia" w:ascii="仿宋" w:hAnsi="仿宋" w:eastAsia="仿宋" w:cs="宋体"/>
          <w:sz w:val="32"/>
          <w:szCs w:val="32"/>
        </w:rPr>
        <w:t>。项目资金来源为零余额账户用款额度。</w:t>
      </w:r>
    </w:p>
    <w:p>
      <w:pPr>
        <w:spacing w:after="0" w:line="600" w:lineRule="exact"/>
        <w:ind w:firstLine="643" w:firstLineChars="200"/>
        <w:jc w:val="both"/>
        <w:rPr>
          <w:rFonts w:ascii="楷体" w:hAnsi="楷体" w:eastAsia="楷体"/>
          <w:b/>
          <w:sz w:val="32"/>
          <w:szCs w:val="32"/>
        </w:rPr>
      </w:pPr>
      <w:r>
        <w:rPr>
          <w:rFonts w:hint="eastAsia" w:ascii="楷体" w:hAnsi="楷体" w:eastAsia="楷体"/>
          <w:b/>
          <w:sz w:val="32"/>
          <w:szCs w:val="32"/>
        </w:rPr>
        <w:t>（二）项目绩效目标。包括总体目标和阶段性目标。</w:t>
      </w:r>
    </w:p>
    <w:p>
      <w:pPr>
        <w:spacing w:after="0" w:line="600" w:lineRule="exact"/>
        <w:ind w:firstLine="640" w:firstLineChars="200"/>
        <w:jc w:val="both"/>
        <w:rPr>
          <w:rFonts w:ascii="仿宋" w:hAnsi="仿宋" w:eastAsia="仿宋"/>
          <w:sz w:val="32"/>
          <w:szCs w:val="32"/>
        </w:rPr>
      </w:pPr>
      <w:r>
        <w:rPr>
          <w:rFonts w:hint="eastAsia" w:ascii="仿宋" w:hAnsi="仿宋" w:eastAsia="仿宋"/>
          <w:sz w:val="32"/>
          <w:szCs w:val="32"/>
        </w:rPr>
        <w:t>贴近社区引导广大市民重视阅读，提高渝水区市民文化素质和素养，培育全民读书的社会氛围。满足了广大群众日益增长的精神文化生活需求，实现公共服务阵地资源利用最大化，推动公共文化服务高质量发展。</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二、绩效评价工作开展情况</w:t>
      </w:r>
    </w:p>
    <w:p>
      <w:pPr>
        <w:spacing w:after="0" w:line="600" w:lineRule="exact"/>
        <w:ind w:firstLine="643" w:firstLineChars="200"/>
        <w:jc w:val="both"/>
        <w:rPr>
          <w:rFonts w:ascii="楷体" w:hAnsi="楷体" w:eastAsia="楷体"/>
          <w:b/>
          <w:sz w:val="32"/>
          <w:szCs w:val="32"/>
        </w:rPr>
      </w:pPr>
      <w:r>
        <w:rPr>
          <w:rFonts w:hint="eastAsia" w:ascii="楷体" w:hAnsi="楷体" w:eastAsia="楷体"/>
          <w:b/>
          <w:sz w:val="32"/>
          <w:szCs w:val="32"/>
        </w:rPr>
        <w:t>（一）绩效评价目的、对象和范围。</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600" w:lineRule="exact"/>
        <w:ind w:firstLine="640" w:firstLineChars="200"/>
        <w:jc w:val="both"/>
        <w:rPr>
          <w:rFonts w:ascii="仿宋" w:hAnsi="仿宋" w:eastAsia="仿宋" w:cs="仿宋"/>
          <w:color w:val="000000"/>
          <w:sz w:val="32"/>
          <w:szCs w:val="32"/>
        </w:rPr>
      </w:pPr>
      <w:r>
        <w:rPr>
          <w:rFonts w:hint="eastAsia" w:ascii="仿宋" w:hAnsi="仿宋" w:eastAsia="仿宋"/>
          <w:sz w:val="32"/>
          <w:szCs w:val="32"/>
        </w:rPr>
        <w:t>为进一步强化预算单位财政支出项目的管理，加强预算单位项目支出责任，保障预算单位更好地履行职责、发挥职能，促进渝水区文广新旅局从整体上提升预算绩效管理工作水平，规范公共文化服务体系建设经费资金管理行为，提高财政资金的使用效益和效率。根据财政部关于印发《项目支出绩效评价管理办法》的通知（财预〔2020〕10 号）、财政部关于印发《财政支出绩效评价管理暂行办法》的通知（财预〔2011〕285号）、《中共渝水区委办公室 渝水区人民政府办公室关于印发渝水区全面实施预算绩效管理的实施意见的通知》（渝党办字[2020]5号）、《推进全区预算绩效管理提质增效工作方案》（渝财〔2022〕132号）以及《渝水区财政局关于开展202</w:t>
      </w:r>
      <w:r>
        <w:rPr>
          <w:rFonts w:hint="eastAsia" w:ascii="仿宋" w:hAnsi="仿宋" w:eastAsia="仿宋"/>
          <w:sz w:val="32"/>
          <w:szCs w:val="32"/>
          <w:lang w:val="en-US" w:eastAsia="zh-CN"/>
        </w:rPr>
        <w:t>3</w:t>
      </w:r>
      <w:r>
        <w:rPr>
          <w:rFonts w:hint="eastAsia" w:ascii="仿宋" w:hAnsi="仿宋" w:eastAsia="仿宋"/>
          <w:sz w:val="32"/>
          <w:szCs w:val="32"/>
        </w:rPr>
        <w:t>年</w:t>
      </w:r>
      <w:r>
        <w:rPr>
          <w:rFonts w:hint="eastAsia" w:ascii="仿宋" w:hAnsi="仿宋" w:eastAsia="仿宋"/>
          <w:sz w:val="32"/>
          <w:szCs w:val="32"/>
          <w:lang w:eastAsia="zh-CN"/>
        </w:rPr>
        <w:t>单位自评及</w:t>
      </w:r>
      <w:r>
        <w:rPr>
          <w:rFonts w:hint="eastAsia" w:ascii="仿宋" w:hAnsi="仿宋" w:eastAsia="仿宋"/>
          <w:sz w:val="32"/>
          <w:szCs w:val="32"/>
        </w:rPr>
        <w:t>部门评价工作的通知》等文件规定，我单位作为主管部门对“</w:t>
      </w:r>
      <w:r>
        <w:rPr>
          <w:rFonts w:hint="eastAsia" w:ascii="仿宋" w:hAnsi="仿宋" w:eastAsia="仿宋"/>
          <w:sz w:val="32"/>
          <w:szCs w:val="32"/>
          <w:lang w:eastAsia="zh-CN"/>
        </w:rPr>
        <w:t>抱石书屋</w:t>
      </w:r>
      <w:r>
        <w:rPr>
          <w:rFonts w:hint="eastAsia" w:ascii="仿宋" w:hAnsi="仿宋" w:eastAsia="仿宋"/>
          <w:sz w:val="32"/>
          <w:szCs w:val="32"/>
        </w:rPr>
        <w:t>”财政支出项目进行绩效评价。</w:t>
      </w:r>
    </w:p>
    <w:p>
      <w:pPr>
        <w:spacing w:after="0" w:line="600" w:lineRule="exact"/>
        <w:ind w:firstLine="643" w:firstLineChars="200"/>
        <w:jc w:val="both"/>
        <w:rPr>
          <w:rFonts w:hint="eastAsia" w:ascii="楷体" w:hAnsi="楷体" w:eastAsia="楷体"/>
          <w:b/>
          <w:sz w:val="32"/>
          <w:szCs w:val="32"/>
        </w:rPr>
      </w:pPr>
      <w:r>
        <w:rPr>
          <w:rFonts w:hint="eastAsia" w:ascii="楷体" w:hAnsi="楷体" w:eastAsia="楷体"/>
          <w:b/>
          <w:sz w:val="32"/>
          <w:szCs w:val="32"/>
        </w:rPr>
        <w:t>（二）绩效评价原则、评价指标体系（附表说明）、评价方法、评价标准等。</w:t>
      </w:r>
    </w:p>
    <w:p>
      <w:pPr>
        <w:spacing w:after="0" w:line="600" w:lineRule="exact"/>
        <w:ind w:firstLine="640" w:firstLineChars="200"/>
        <w:jc w:val="both"/>
        <w:rPr>
          <w:rFonts w:hint="eastAsia" w:ascii="仿宋" w:hAnsi="仿宋" w:eastAsia="仿宋"/>
          <w:color w:val="FF0000"/>
          <w:sz w:val="32"/>
          <w:szCs w:val="32"/>
        </w:rPr>
      </w:pPr>
      <w:r>
        <w:rPr>
          <w:rFonts w:hint="eastAsia" w:ascii="仿宋" w:hAnsi="仿宋" w:eastAsia="仿宋"/>
          <w:sz w:val="32"/>
          <w:szCs w:val="32"/>
        </w:rPr>
        <w:t>项目绩效评价工作依据财政部关于印发《项目支出绩效评价管理办法》的通知（财预〔2020〕10号）、《中央补助地方公共文化服务体系建设专项资金管理暂行办法》（财教〔2015〕527号）、《江西省委办公厅江西省政府办公厅印发《关于加快构建现代公共文化服务体系的实施意见》的通知》（赣办发【2015】32号）等文件规定</w:t>
      </w:r>
      <w:r>
        <w:rPr>
          <w:rFonts w:hint="eastAsia"/>
          <w:color w:val="333333"/>
        </w:rPr>
        <w:t>，</w:t>
      </w:r>
      <w:r>
        <w:rPr>
          <w:rFonts w:hint="eastAsia" w:ascii="仿宋" w:hAnsi="仿宋" w:eastAsia="仿宋"/>
          <w:sz w:val="32"/>
          <w:szCs w:val="32"/>
        </w:rPr>
        <w:t>以科学公正、统筹兼顾、激励约束、公开透明为基本原则；并根据财政部门和主管部门相关文件的规定，结合项目性质和项目预算批复时确定的绩效指标，设计定量和定性相结合的绩效评价指标及评分标准，确定绩效评价指标体系。（详见附件《渝水区文广新旅局旅游局部门评价报告表——</w:t>
      </w:r>
      <w:r>
        <w:rPr>
          <w:rFonts w:hint="eastAsia" w:ascii="仿宋" w:hAnsi="仿宋" w:eastAsia="仿宋"/>
          <w:sz w:val="32"/>
          <w:szCs w:val="32"/>
          <w:lang w:eastAsia="zh-CN"/>
        </w:rPr>
        <w:t>抱石书屋项目经费</w:t>
      </w:r>
      <w:r>
        <w:rPr>
          <w:rFonts w:hint="eastAsia" w:ascii="仿宋" w:hAnsi="仿宋" w:eastAsia="仿宋"/>
          <w:sz w:val="32"/>
          <w:szCs w:val="32"/>
        </w:rPr>
        <w:t>》）</w:t>
      </w:r>
    </w:p>
    <w:p>
      <w:pPr>
        <w:spacing w:after="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项目绩效评价主要采用定量与定性评价相结合的比较法，以及成本效益分析等方法；定量指标得分主要与预算指标值相比评定，定性指标得分主要与预算指标完成情况及效果评判评定。</w:t>
      </w:r>
    </w:p>
    <w:p>
      <w:pPr>
        <w:spacing w:after="0" w:line="600" w:lineRule="exact"/>
        <w:ind w:firstLine="640" w:firstLineChars="200"/>
        <w:jc w:val="both"/>
        <w:rPr>
          <w:rFonts w:ascii="仿宋" w:hAnsi="仿宋" w:eastAsia="仿宋"/>
          <w:sz w:val="32"/>
          <w:szCs w:val="32"/>
        </w:rPr>
      </w:pPr>
      <w:r>
        <w:rPr>
          <w:rFonts w:hint="eastAsia" w:ascii="仿宋" w:hAnsi="仿宋" w:eastAsia="仿宋"/>
          <w:sz w:val="32"/>
          <w:szCs w:val="32"/>
        </w:rPr>
        <w:t>项目绩效评价结果采取评分和评级相结合的方式，总分设置为100分，等级划分为四档：90（含）-100分为优、80（含）-90分为良、60（含）-80分为中、60分以下为差。</w:t>
      </w:r>
    </w:p>
    <w:p>
      <w:pPr>
        <w:spacing w:after="0" w:line="600" w:lineRule="exact"/>
        <w:ind w:firstLine="643" w:firstLineChars="200"/>
        <w:jc w:val="both"/>
        <w:rPr>
          <w:rFonts w:ascii="楷体" w:hAnsi="楷体" w:eastAsia="楷体"/>
          <w:b/>
          <w:sz w:val="32"/>
          <w:szCs w:val="32"/>
        </w:rPr>
      </w:pPr>
      <w:r>
        <w:rPr>
          <w:rFonts w:hint="eastAsia" w:ascii="楷体" w:hAnsi="楷体" w:eastAsia="楷体"/>
          <w:b/>
          <w:sz w:val="32"/>
          <w:szCs w:val="32"/>
        </w:rPr>
        <w:t>（三）绩效评价工作过程。</w:t>
      </w:r>
    </w:p>
    <w:p>
      <w:pPr>
        <w:spacing w:after="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评价工作主要通过案卷查阅、询问查证、财务资料抽查、方式收集评价证据；评价小组以证据为基础，运用比较等方法，按照评分标准对每一项指标打分，形成评价等级；分析项目实施后的各项绩效，归纳实施过程中存在的问题，提出相应的意见与建议；并与项目实施单位交换意见，核实有关情况，形成最终结论，提交绩效评价报告。</w:t>
      </w:r>
    </w:p>
    <w:p>
      <w:pPr>
        <w:spacing w:after="0" w:line="600" w:lineRule="exact"/>
        <w:ind w:firstLine="960" w:firstLineChars="300"/>
        <w:jc w:val="both"/>
        <w:rPr>
          <w:rFonts w:hint="eastAsia" w:ascii="黑体" w:hAnsi="黑体" w:eastAsia="黑体"/>
          <w:sz w:val="32"/>
          <w:szCs w:val="32"/>
        </w:rPr>
      </w:pPr>
      <w:r>
        <w:rPr>
          <w:rFonts w:hint="eastAsia" w:ascii="黑体" w:hAnsi="黑体" w:eastAsia="黑体"/>
          <w:sz w:val="32"/>
          <w:szCs w:val="32"/>
        </w:rPr>
        <w:t>三、综合评价情况及评价结论（附相关评分表）</w:t>
      </w:r>
    </w:p>
    <w:p>
      <w:pPr>
        <w:spacing w:after="0" w:line="600" w:lineRule="exact"/>
        <w:ind w:firstLine="960" w:firstLineChars="300"/>
        <w:jc w:val="both"/>
        <w:rPr>
          <w:rFonts w:ascii="仿宋" w:hAnsi="仿宋" w:eastAsia="仿宋"/>
          <w:sz w:val="32"/>
          <w:szCs w:val="32"/>
        </w:rPr>
      </w:pPr>
      <w:r>
        <w:rPr>
          <w:rFonts w:hint="eastAsia" w:ascii="仿宋" w:hAnsi="仿宋" w:eastAsia="仿宋"/>
          <w:sz w:val="32"/>
          <w:szCs w:val="32"/>
        </w:rPr>
        <w:t>评价小组认为，渝水区文广新旅局“</w:t>
      </w:r>
      <w:r>
        <w:rPr>
          <w:rFonts w:hint="eastAsia" w:ascii="仿宋" w:hAnsi="仿宋" w:eastAsia="仿宋"/>
          <w:sz w:val="32"/>
          <w:szCs w:val="32"/>
          <w:lang w:eastAsia="zh-CN"/>
        </w:rPr>
        <w:t>抱石书屋项目</w:t>
      </w:r>
      <w:r>
        <w:rPr>
          <w:rFonts w:hint="eastAsia" w:ascii="仿宋" w:hAnsi="仿宋" w:eastAsia="仿宋"/>
          <w:sz w:val="32"/>
          <w:szCs w:val="32"/>
        </w:rPr>
        <w:t>经费”财政支出项目，在项目决策、目标设定、资金投入、资金管理、组织实施等方面符合有关法律法规和文件制度规定，项目产出和实施效益达到设定的预算绩效目标，项目支出的效益符合财政支出经济性、效率性和有效性原则，取得了较好的社会效益，基本实现了项目绩效的总体目标。</w:t>
      </w:r>
      <w:r>
        <w:rPr>
          <w:rFonts w:hint="eastAsia" w:ascii="仿宋" w:hAnsi="仿宋" w:eastAsia="仿宋"/>
          <w:color w:val="auto"/>
          <w:sz w:val="32"/>
          <w:szCs w:val="32"/>
        </w:rPr>
        <w:t>该项目绩效评价综合得分9</w:t>
      </w:r>
      <w:r>
        <w:rPr>
          <w:rFonts w:hint="eastAsia" w:ascii="仿宋" w:hAnsi="仿宋" w:eastAsia="仿宋"/>
          <w:color w:val="auto"/>
          <w:sz w:val="32"/>
          <w:szCs w:val="32"/>
          <w:lang w:val="en-US" w:eastAsia="zh-CN"/>
        </w:rPr>
        <w:t>4</w:t>
      </w:r>
      <w:r>
        <w:rPr>
          <w:rFonts w:hint="eastAsia" w:ascii="仿宋" w:hAnsi="仿宋" w:eastAsia="仿宋"/>
          <w:color w:val="auto"/>
          <w:sz w:val="32"/>
          <w:szCs w:val="32"/>
        </w:rPr>
        <w:t>分，绩效评价等级为优。</w:t>
      </w:r>
      <w:r>
        <w:rPr>
          <w:rFonts w:hint="eastAsia" w:ascii="仿宋" w:hAnsi="仿宋" w:eastAsia="仿宋"/>
          <w:sz w:val="32"/>
          <w:szCs w:val="32"/>
        </w:rPr>
        <w:t>综合评价详见附件《渝水区文广新旅局旅游局部门评价报告表——</w:t>
      </w:r>
      <w:r>
        <w:rPr>
          <w:rFonts w:hint="eastAsia" w:ascii="仿宋" w:hAnsi="仿宋" w:eastAsia="仿宋"/>
          <w:sz w:val="32"/>
          <w:szCs w:val="32"/>
          <w:lang w:eastAsia="zh-CN"/>
        </w:rPr>
        <w:t>抱石书屋项目</w:t>
      </w:r>
      <w:r>
        <w:rPr>
          <w:rFonts w:hint="eastAsia" w:ascii="仿宋" w:hAnsi="仿宋" w:eastAsia="仿宋"/>
          <w:sz w:val="32"/>
          <w:szCs w:val="32"/>
        </w:rPr>
        <w:t>经费》。</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四、绩效评价指标分析</w:t>
      </w:r>
    </w:p>
    <w:p>
      <w:pPr>
        <w:spacing w:after="0" w:line="600" w:lineRule="exact"/>
        <w:ind w:firstLine="643" w:firstLineChars="200"/>
        <w:jc w:val="both"/>
        <w:rPr>
          <w:rFonts w:hint="eastAsia" w:ascii="楷体" w:hAnsi="楷体" w:eastAsia="楷体"/>
          <w:b/>
          <w:sz w:val="32"/>
          <w:szCs w:val="32"/>
        </w:rPr>
      </w:pPr>
      <w:r>
        <w:rPr>
          <w:rFonts w:hint="eastAsia" w:ascii="楷体" w:hAnsi="楷体" w:eastAsia="楷体"/>
          <w:b/>
          <w:sz w:val="32"/>
          <w:szCs w:val="32"/>
        </w:rPr>
        <w:t>（一）项目决策情况</w:t>
      </w:r>
    </w:p>
    <w:p>
      <w:pPr>
        <w:spacing w:after="0" w:line="600" w:lineRule="exact"/>
        <w:ind w:firstLine="643" w:firstLineChars="200"/>
        <w:jc w:val="both"/>
        <w:rPr>
          <w:rFonts w:hint="eastAsia" w:ascii="仿宋" w:hAnsi="仿宋" w:eastAsia="仿宋"/>
          <w:b/>
          <w:bCs/>
          <w:sz w:val="32"/>
          <w:szCs w:val="32"/>
        </w:rPr>
      </w:pPr>
      <w:r>
        <w:rPr>
          <w:rFonts w:hint="eastAsia" w:ascii="仿宋" w:hAnsi="仿宋" w:eastAsia="仿宋"/>
          <w:b/>
          <w:bCs/>
          <w:sz w:val="32"/>
          <w:szCs w:val="32"/>
        </w:rPr>
        <w:t>1.项目立项</w:t>
      </w:r>
    </w:p>
    <w:p>
      <w:pPr>
        <w:spacing w:after="0" w:line="600" w:lineRule="exact"/>
        <w:ind w:firstLine="640" w:firstLineChars="200"/>
        <w:jc w:val="both"/>
        <w:rPr>
          <w:rFonts w:hint="eastAsia" w:ascii="微软雅黑" w:hAnsi="微软雅黑"/>
          <w:color w:val="333333"/>
          <w:sz w:val="23"/>
          <w:szCs w:val="23"/>
        </w:rPr>
      </w:pPr>
      <w:r>
        <w:rPr>
          <w:rFonts w:hint="eastAsia" w:ascii="仿宋" w:hAnsi="仿宋" w:eastAsia="仿宋"/>
          <w:color w:val="auto"/>
          <w:sz w:val="32"/>
          <w:szCs w:val="32"/>
        </w:rPr>
        <w:t>（1）立项依据的充分性：为提高</w:t>
      </w:r>
      <w:r>
        <w:rPr>
          <w:rFonts w:hint="eastAsia" w:ascii="仿宋" w:hAnsi="仿宋" w:eastAsia="仿宋"/>
          <w:color w:val="auto"/>
          <w:sz w:val="32"/>
          <w:szCs w:val="32"/>
          <w:lang w:eastAsia="zh-CN"/>
        </w:rPr>
        <w:t>社区</w:t>
      </w:r>
      <w:r>
        <w:rPr>
          <w:rFonts w:hint="eastAsia" w:ascii="仿宋" w:hAnsi="仿宋" w:eastAsia="仿宋"/>
          <w:color w:val="auto"/>
          <w:sz w:val="32"/>
          <w:szCs w:val="32"/>
        </w:rPr>
        <w:t>公共文化服务</w:t>
      </w:r>
      <w:r>
        <w:rPr>
          <w:rFonts w:hint="eastAsia" w:ascii="仿宋" w:hAnsi="仿宋" w:eastAsia="仿宋"/>
          <w:color w:val="auto"/>
          <w:sz w:val="32"/>
          <w:szCs w:val="32"/>
          <w:lang w:eastAsia="zh-CN"/>
        </w:rPr>
        <w:t>水平</w:t>
      </w:r>
      <w:r>
        <w:rPr>
          <w:rFonts w:hint="eastAsia" w:ascii="仿宋" w:hAnsi="仿宋" w:eastAsia="仿宋"/>
          <w:color w:val="auto"/>
          <w:sz w:val="32"/>
          <w:szCs w:val="32"/>
        </w:rPr>
        <w:t>，</w:t>
      </w:r>
      <w:r>
        <w:rPr>
          <w:rFonts w:hint="eastAsia" w:ascii="仿宋" w:hAnsi="仿宋" w:eastAsia="仿宋"/>
          <w:color w:val="auto"/>
          <w:sz w:val="32"/>
          <w:szCs w:val="32"/>
          <w:lang w:eastAsia="zh-CN"/>
        </w:rPr>
        <w:t>提升社区市民文化素养</w:t>
      </w:r>
      <w:r>
        <w:rPr>
          <w:rFonts w:hint="eastAsia" w:ascii="仿宋" w:hAnsi="仿宋" w:eastAsia="仿宋"/>
          <w:color w:val="auto"/>
          <w:sz w:val="32"/>
          <w:szCs w:val="32"/>
        </w:rPr>
        <w:t>，保障人民群众基本文化权益，</w:t>
      </w:r>
      <w:r>
        <w:rPr>
          <w:rFonts w:hint="eastAsia" w:ascii="仿宋" w:hAnsi="仿宋" w:eastAsia="仿宋"/>
          <w:sz w:val="32"/>
          <w:szCs w:val="32"/>
        </w:rPr>
        <w:t>按</w:t>
      </w:r>
      <w:r>
        <w:rPr>
          <w:rFonts w:hint="eastAsia" w:ascii="仿宋" w:hAnsi="仿宋" w:eastAsia="仿宋"/>
          <w:color w:val="auto"/>
          <w:sz w:val="32"/>
          <w:szCs w:val="32"/>
        </w:rPr>
        <w:t>照江西省委宣传部、省文化和旅游厅《关于加强城市智慧书屋建设的实施意见》</w:t>
      </w:r>
      <w:r>
        <w:rPr>
          <w:rFonts w:hint="eastAsia" w:ascii="仿宋" w:hAnsi="仿宋" w:eastAsia="仿宋"/>
          <w:color w:val="auto"/>
          <w:sz w:val="32"/>
          <w:szCs w:val="32"/>
          <w:lang w:eastAsia="zh-CN"/>
        </w:rPr>
        <w:t>等</w:t>
      </w:r>
      <w:r>
        <w:rPr>
          <w:rFonts w:hint="eastAsia" w:ascii="仿宋" w:hAnsi="仿宋" w:eastAsia="仿宋"/>
          <w:color w:val="auto"/>
          <w:sz w:val="32"/>
          <w:szCs w:val="32"/>
        </w:rPr>
        <w:t>相关文件</w:t>
      </w:r>
      <w:r>
        <w:rPr>
          <w:rFonts w:hint="eastAsia" w:ascii="仿宋" w:hAnsi="仿宋" w:eastAsia="仿宋"/>
          <w:color w:val="auto"/>
          <w:sz w:val="32"/>
          <w:szCs w:val="32"/>
          <w:lang w:eastAsia="zh-CN"/>
        </w:rPr>
        <w:t>精神建设抱石书屋项目</w:t>
      </w:r>
      <w:r>
        <w:rPr>
          <w:rFonts w:hint="eastAsia" w:ascii="仿宋" w:hAnsi="仿宋" w:eastAsia="仿宋"/>
          <w:color w:val="auto"/>
          <w:sz w:val="32"/>
          <w:szCs w:val="32"/>
        </w:rPr>
        <w:t>。该项指标标准分值</w:t>
      </w:r>
      <w:r>
        <w:rPr>
          <w:rFonts w:hint="eastAsia" w:ascii="仿宋" w:hAnsi="仿宋" w:eastAsia="仿宋"/>
          <w:color w:val="auto"/>
          <w:sz w:val="32"/>
          <w:szCs w:val="32"/>
          <w:lang w:val="en-US" w:eastAsia="zh-CN"/>
        </w:rPr>
        <w:t>2</w:t>
      </w:r>
      <w:r>
        <w:rPr>
          <w:rFonts w:hint="eastAsia" w:ascii="仿宋" w:hAnsi="仿宋" w:eastAsia="仿宋"/>
          <w:color w:val="auto"/>
          <w:sz w:val="32"/>
          <w:szCs w:val="32"/>
        </w:rPr>
        <w:t>分，评价得</w:t>
      </w:r>
      <w:r>
        <w:rPr>
          <w:rFonts w:hint="eastAsia" w:ascii="仿宋" w:hAnsi="仿宋" w:eastAsia="仿宋"/>
          <w:sz w:val="32"/>
          <w:szCs w:val="32"/>
        </w:rPr>
        <w:t>分</w:t>
      </w:r>
      <w:r>
        <w:rPr>
          <w:rFonts w:hint="eastAsia" w:ascii="仿宋" w:hAnsi="仿宋" w:eastAsia="仿宋"/>
          <w:sz w:val="32"/>
          <w:szCs w:val="32"/>
          <w:lang w:val="en-US" w:eastAsia="zh-CN"/>
        </w:rPr>
        <w:t>2</w:t>
      </w:r>
      <w:r>
        <w:rPr>
          <w:rFonts w:hint="eastAsia" w:ascii="仿宋" w:hAnsi="仿宋" w:eastAsia="仿宋"/>
          <w:sz w:val="32"/>
          <w:szCs w:val="32"/>
        </w:rPr>
        <w:t>分。</w:t>
      </w:r>
    </w:p>
    <w:p>
      <w:pPr>
        <w:spacing w:after="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（2）立项程序规范性：渝水区文广新旅局</w:t>
      </w:r>
      <w:r>
        <w:rPr>
          <w:rFonts w:hint="eastAsia" w:ascii="仿宋" w:hAnsi="仿宋" w:eastAsia="仿宋"/>
          <w:sz w:val="32"/>
          <w:szCs w:val="32"/>
          <w:lang w:eastAsia="zh-CN"/>
        </w:rPr>
        <w:t>抱石书屋</w:t>
      </w:r>
      <w:r>
        <w:rPr>
          <w:rFonts w:hint="eastAsia" w:ascii="仿宋" w:hAnsi="仿宋" w:eastAsia="仿宋"/>
          <w:sz w:val="32"/>
          <w:szCs w:val="32"/>
        </w:rPr>
        <w:t>项目预算申报及绩效目标审批文件齐全，立项程序规范到位。该项指标标准分值</w:t>
      </w:r>
      <w:r>
        <w:rPr>
          <w:rFonts w:hint="eastAsia" w:ascii="仿宋" w:hAnsi="仿宋" w:eastAsia="仿宋"/>
          <w:sz w:val="32"/>
          <w:szCs w:val="32"/>
          <w:lang w:val="en-US" w:eastAsia="zh-CN"/>
        </w:rPr>
        <w:t>2</w:t>
      </w:r>
      <w:r>
        <w:rPr>
          <w:rFonts w:hint="eastAsia" w:ascii="仿宋" w:hAnsi="仿宋" w:eastAsia="仿宋"/>
          <w:sz w:val="32"/>
          <w:szCs w:val="32"/>
        </w:rPr>
        <w:t>分，评价得分</w:t>
      </w:r>
      <w:r>
        <w:rPr>
          <w:rFonts w:hint="eastAsia" w:ascii="仿宋" w:hAnsi="仿宋" w:eastAsia="仿宋"/>
          <w:sz w:val="32"/>
          <w:szCs w:val="32"/>
          <w:lang w:val="en-US" w:eastAsia="zh-CN"/>
        </w:rPr>
        <w:t>2</w:t>
      </w:r>
      <w:r>
        <w:rPr>
          <w:rFonts w:hint="eastAsia" w:ascii="仿宋" w:hAnsi="仿宋" w:eastAsia="仿宋"/>
          <w:sz w:val="32"/>
          <w:szCs w:val="32"/>
        </w:rPr>
        <w:t>分。</w:t>
      </w:r>
    </w:p>
    <w:p>
      <w:pPr>
        <w:spacing w:after="0" w:line="600" w:lineRule="exact"/>
        <w:ind w:firstLine="643" w:firstLineChars="200"/>
        <w:jc w:val="both"/>
        <w:rPr>
          <w:rFonts w:hint="eastAsia" w:ascii="仿宋" w:hAnsi="仿宋" w:eastAsia="仿宋"/>
          <w:b/>
          <w:sz w:val="32"/>
          <w:szCs w:val="32"/>
        </w:rPr>
      </w:pPr>
      <w:r>
        <w:rPr>
          <w:rFonts w:hint="eastAsia" w:ascii="仿宋" w:hAnsi="仿宋" w:eastAsia="仿宋"/>
          <w:b/>
          <w:sz w:val="32"/>
          <w:szCs w:val="32"/>
        </w:rPr>
        <w:t>2.绩效目标</w:t>
      </w:r>
    </w:p>
    <w:p>
      <w:pPr>
        <w:pStyle w:val="2"/>
        <w:spacing w:before="0" w:beforeAutospacing="0" w:after="0" w:afterAutospacing="0" w:line="600" w:lineRule="exact"/>
        <w:ind w:firstLine="800" w:firstLineChars="250"/>
        <w:jc w:val="both"/>
        <w:rPr>
          <w:rFonts w:hint="eastAsia" w:ascii="仿宋" w:hAnsi="仿宋" w:eastAsia="仿宋"/>
          <w:sz w:val="32"/>
          <w:szCs w:val="32"/>
        </w:rPr>
      </w:pPr>
      <w:r>
        <w:rPr>
          <w:rFonts w:hint="eastAsia" w:ascii="仿宋" w:hAnsi="仿宋" w:eastAsia="仿宋"/>
          <w:sz w:val="32"/>
          <w:szCs w:val="32"/>
        </w:rPr>
        <w:t>（1）绩效目标合理性：根据202</w:t>
      </w:r>
      <w:r>
        <w:rPr>
          <w:rFonts w:hint="eastAsia" w:ascii="仿宋" w:hAnsi="仿宋" w:eastAsia="仿宋"/>
          <w:sz w:val="32"/>
          <w:szCs w:val="32"/>
          <w:lang w:val="en-US" w:eastAsia="zh-CN"/>
        </w:rPr>
        <w:t>3</w:t>
      </w:r>
      <w:r>
        <w:rPr>
          <w:rFonts w:hint="eastAsia" w:ascii="仿宋" w:hAnsi="仿宋" w:eastAsia="仿宋"/>
          <w:sz w:val="32"/>
          <w:szCs w:val="32"/>
        </w:rPr>
        <w:t>年渝水区文广新旅局填报的项目绩效目标申报表，该项目绩效目标设定合理且与其实际工作相关，预算资金匹配度高。该项指标标准分值</w:t>
      </w:r>
      <w:r>
        <w:rPr>
          <w:rFonts w:hint="eastAsia" w:ascii="仿宋" w:hAnsi="仿宋" w:eastAsia="仿宋"/>
          <w:sz w:val="32"/>
          <w:szCs w:val="32"/>
          <w:lang w:val="en-US" w:eastAsia="zh-CN"/>
        </w:rPr>
        <w:t>2</w:t>
      </w:r>
      <w:r>
        <w:rPr>
          <w:rFonts w:hint="eastAsia" w:ascii="仿宋" w:hAnsi="仿宋" w:eastAsia="仿宋"/>
          <w:sz w:val="32"/>
          <w:szCs w:val="32"/>
        </w:rPr>
        <w:t>分，评价得分</w:t>
      </w:r>
      <w:r>
        <w:rPr>
          <w:rFonts w:hint="eastAsia" w:ascii="仿宋" w:hAnsi="仿宋" w:eastAsia="仿宋"/>
          <w:sz w:val="32"/>
          <w:szCs w:val="32"/>
          <w:lang w:val="en-US" w:eastAsia="zh-CN"/>
        </w:rPr>
        <w:t>2</w:t>
      </w:r>
      <w:r>
        <w:rPr>
          <w:rFonts w:hint="eastAsia" w:ascii="仿宋" w:hAnsi="仿宋" w:eastAsia="仿宋"/>
          <w:sz w:val="32"/>
          <w:szCs w:val="32"/>
        </w:rPr>
        <w:t>分。</w:t>
      </w:r>
    </w:p>
    <w:p>
      <w:pPr>
        <w:pStyle w:val="2"/>
        <w:spacing w:before="0" w:beforeAutospacing="0" w:after="0" w:afterAutospacing="0" w:line="600" w:lineRule="exact"/>
        <w:ind w:firstLine="640" w:firstLineChars="200"/>
        <w:jc w:val="both"/>
        <w:rPr>
          <w:rFonts w:ascii="仿宋" w:hAnsi="仿宋" w:eastAsia="仿宋"/>
          <w:sz w:val="32"/>
          <w:szCs w:val="32"/>
        </w:rPr>
      </w:pPr>
      <w:r>
        <w:rPr>
          <w:rFonts w:hint="eastAsia" w:ascii="仿宋" w:hAnsi="仿宋" w:eastAsia="仿宋"/>
          <w:sz w:val="32"/>
          <w:szCs w:val="32"/>
        </w:rPr>
        <w:t>（2）绩效指标明确性：根据202</w:t>
      </w:r>
      <w:r>
        <w:rPr>
          <w:rFonts w:hint="eastAsia" w:ascii="仿宋" w:hAnsi="仿宋" w:eastAsia="仿宋"/>
          <w:sz w:val="32"/>
          <w:szCs w:val="32"/>
          <w:lang w:val="en-US" w:eastAsia="zh-CN"/>
        </w:rPr>
        <w:t>3</w:t>
      </w:r>
      <w:r>
        <w:rPr>
          <w:rFonts w:hint="eastAsia" w:ascii="仿宋" w:hAnsi="仿宋" w:eastAsia="仿宋"/>
          <w:sz w:val="32"/>
          <w:szCs w:val="32"/>
        </w:rPr>
        <w:t>年渝水区文广新旅局填报的项目绩效目标申报表，该项目绩效指标清晰，细化明确可衡量，与计划数相对应。该项指标标准分值</w:t>
      </w:r>
      <w:r>
        <w:rPr>
          <w:rFonts w:hint="eastAsia" w:ascii="仿宋" w:hAnsi="仿宋" w:eastAsia="仿宋"/>
          <w:sz w:val="32"/>
          <w:szCs w:val="32"/>
          <w:lang w:val="en-US" w:eastAsia="zh-CN"/>
        </w:rPr>
        <w:t>2</w:t>
      </w:r>
      <w:r>
        <w:rPr>
          <w:rFonts w:hint="eastAsia" w:ascii="仿宋" w:hAnsi="仿宋" w:eastAsia="仿宋"/>
          <w:sz w:val="32"/>
          <w:szCs w:val="32"/>
        </w:rPr>
        <w:t>分，评价得分</w:t>
      </w:r>
      <w:r>
        <w:rPr>
          <w:rFonts w:hint="eastAsia" w:ascii="仿宋" w:hAnsi="仿宋" w:eastAsia="仿宋"/>
          <w:sz w:val="32"/>
          <w:szCs w:val="32"/>
          <w:lang w:val="en-US" w:eastAsia="zh-CN"/>
        </w:rPr>
        <w:t>2</w:t>
      </w:r>
      <w:r>
        <w:rPr>
          <w:rFonts w:hint="eastAsia" w:ascii="仿宋" w:hAnsi="仿宋" w:eastAsia="仿宋"/>
          <w:sz w:val="32"/>
          <w:szCs w:val="32"/>
        </w:rPr>
        <w:t>分。</w:t>
      </w:r>
    </w:p>
    <w:p>
      <w:pPr>
        <w:spacing w:after="0" w:line="600" w:lineRule="exact"/>
        <w:ind w:firstLine="643" w:firstLineChars="200"/>
        <w:jc w:val="both"/>
        <w:rPr>
          <w:rFonts w:hint="eastAsia" w:ascii="仿宋" w:hAnsi="仿宋" w:eastAsia="仿宋"/>
          <w:b/>
          <w:bCs/>
          <w:sz w:val="32"/>
          <w:szCs w:val="32"/>
        </w:rPr>
      </w:pPr>
      <w:r>
        <w:rPr>
          <w:rFonts w:hint="eastAsia" w:ascii="仿宋" w:hAnsi="仿宋" w:eastAsia="仿宋"/>
          <w:b/>
          <w:bCs/>
          <w:sz w:val="32"/>
          <w:szCs w:val="32"/>
        </w:rPr>
        <w:t>3、资金投入</w:t>
      </w:r>
    </w:p>
    <w:p>
      <w:pPr>
        <w:spacing w:after="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（1）预算编制科学性：该项目预算内容与项目内容相匹配；预算测算依据充分且符合标准；预算资金需求量与工作任务匹配。该项指标标准分值4分，评价得分4分。</w:t>
      </w:r>
    </w:p>
    <w:p>
      <w:pPr>
        <w:spacing w:after="0" w:line="600" w:lineRule="exact"/>
        <w:ind w:firstLine="640" w:firstLineChars="200"/>
        <w:jc w:val="both"/>
        <w:rPr>
          <w:rFonts w:ascii="仿宋" w:hAnsi="仿宋" w:eastAsia="仿宋"/>
          <w:sz w:val="32"/>
          <w:szCs w:val="32"/>
        </w:rPr>
      </w:pPr>
      <w:r>
        <w:rPr>
          <w:rFonts w:hint="eastAsia" w:ascii="仿宋" w:hAnsi="仿宋" w:eastAsia="仿宋"/>
          <w:sz w:val="32"/>
          <w:szCs w:val="32"/>
        </w:rPr>
        <w:t>（2）资金分配合理性：该项目资金分配根据下属单位开展相关公共文化服务体系建设活动分配，分配依据充分，额度合理，与其自身实际相适应。该项指标标准分值3分，评价得分3分。</w:t>
      </w:r>
    </w:p>
    <w:p>
      <w:pPr>
        <w:spacing w:after="0" w:line="600" w:lineRule="exact"/>
        <w:ind w:firstLine="643" w:firstLineChars="200"/>
        <w:jc w:val="both"/>
        <w:rPr>
          <w:rFonts w:hint="eastAsia" w:ascii="楷体" w:hAnsi="楷体" w:eastAsia="楷体"/>
          <w:b/>
          <w:sz w:val="32"/>
          <w:szCs w:val="32"/>
        </w:rPr>
      </w:pPr>
      <w:r>
        <w:rPr>
          <w:rFonts w:hint="eastAsia" w:ascii="楷体" w:hAnsi="楷体" w:eastAsia="楷体"/>
          <w:b/>
          <w:sz w:val="32"/>
          <w:szCs w:val="32"/>
        </w:rPr>
        <w:t>（二）项目过程情况。</w:t>
      </w:r>
    </w:p>
    <w:p>
      <w:pPr>
        <w:spacing w:after="0" w:line="600" w:lineRule="exact"/>
        <w:ind w:firstLine="643" w:firstLineChars="200"/>
        <w:jc w:val="both"/>
        <w:rPr>
          <w:rStyle w:val="5"/>
          <w:rFonts w:hint="eastAsia" w:ascii="仿宋_GB2312" w:eastAsia="仿宋_GB2312"/>
          <w:color w:val="333333"/>
          <w:sz w:val="32"/>
          <w:szCs w:val="32"/>
          <w:shd w:val="clear" w:color="auto" w:fill="FFFFFF"/>
        </w:rPr>
      </w:pPr>
      <w:r>
        <w:rPr>
          <w:rStyle w:val="5"/>
          <w:rFonts w:hint="eastAsia" w:ascii="仿宋_GB2312" w:eastAsia="仿宋_GB2312"/>
          <w:color w:val="333333"/>
          <w:sz w:val="32"/>
          <w:szCs w:val="32"/>
          <w:shd w:val="clear" w:color="auto" w:fill="FFFFFF"/>
        </w:rPr>
        <w:t>1.资金管理</w:t>
      </w:r>
    </w:p>
    <w:p>
      <w:pPr>
        <w:spacing w:after="0" w:line="600" w:lineRule="exact"/>
        <w:ind w:firstLine="640" w:firstLineChars="200"/>
        <w:jc w:val="both"/>
        <w:rPr>
          <w:rFonts w:ascii="微软雅黑" w:hAnsi="微软雅黑"/>
          <w:color w:val="333333"/>
          <w:sz w:val="23"/>
          <w:szCs w:val="23"/>
        </w:rPr>
      </w:pPr>
      <w:r>
        <w:rPr>
          <w:rFonts w:hint="eastAsia" w:ascii="仿宋" w:hAnsi="仿宋" w:eastAsia="仿宋"/>
          <w:sz w:val="32"/>
          <w:szCs w:val="32"/>
        </w:rPr>
        <w:t>（1）资金到位率：该项目预算资金</w:t>
      </w:r>
      <w:r>
        <w:rPr>
          <w:rFonts w:hint="eastAsia" w:ascii="仿宋" w:hAnsi="仿宋" w:eastAsia="仿宋"/>
          <w:sz w:val="32"/>
          <w:szCs w:val="32"/>
          <w:lang w:val="en-US" w:eastAsia="zh-CN"/>
        </w:rPr>
        <w:t>75</w:t>
      </w:r>
      <w:r>
        <w:rPr>
          <w:rFonts w:hint="eastAsia" w:ascii="仿宋" w:hAnsi="仿宋" w:eastAsia="仿宋"/>
          <w:sz w:val="32"/>
          <w:szCs w:val="32"/>
        </w:rPr>
        <w:t>万元，实际到位资金</w:t>
      </w:r>
      <w:r>
        <w:rPr>
          <w:rFonts w:hint="eastAsia" w:ascii="仿宋" w:hAnsi="仿宋" w:eastAsia="仿宋"/>
          <w:sz w:val="32"/>
          <w:szCs w:val="32"/>
          <w:lang w:val="en-US" w:eastAsia="zh-CN"/>
        </w:rPr>
        <w:t>75</w:t>
      </w:r>
      <w:r>
        <w:rPr>
          <w:rFonts w:hint="eastAsia" w:ascii="仿宋" w:hAnsi="仿宋" w:eastAsia="仿宋"/>
          <w:sz w:val="32"/>
          <w:szCs w:val="32"/>
        </w:rPr>
        <w:t>万元，资金到位率=实际到位资金/预算资金=</w:t>
      </w:r>
      <w:r>
        <w:rPr>
          <w:rFonts w:hint="eastAsia" w:ascii="仿宋" w:hAnsi="仿宋" w:eastAsia="仿宋"/>
          <w:sz w:val="32"/>
          <w:szCs w:val="32"/>
          <w:lang w:val="en-US" w:eastAsia="zh-CN"/>
        </w:rPr>
        <w:t>75</w:t>
      </w:r>
      <w:r>
        <w:rPr>
          <w:rFonts w:hint="eastAsia" w:ascii="仿宋" w:hAnsi="仿宋" w:eastAsia="仿宋"/>
          <w:sz w:val="32"/>
          <w:szCs w:val="32"/>
        </w:rPr>
        <w:t>/</w:t>
      </w:r>
      <w:r>
        <w:rPr>
          <w:rFonts w:hint="eastAsia" w:ascii="仿宋" w:hAnsi="仿宋" w:eastAsia="仿宋"/>
          <w:sz w:val="32"/>
          <w:szCs w:val="32"/>
          <w:lang w:val="en-US" w:eastAsia="zh-CN"/>
        </w:rPr>
        <w:t>75</w:t>
      </w:r>
      <w:r>
        <w:rPr>
          <w:rFonts w:hint="eastAsia" w:ascii="仿宋" w:hAnsi="仿宋" w:eastAsia="仿宋"/>
          <w:sz w:val="32"/>
          <w:szCs w:val="32"/>
        </w:rPr>
        <w:t>×100%=100%。该项指标标准分值5分，评价得分5分。</w:t>
      </w:r>
    </w:p>
    <w:p>
      <w:pPr>
        <w:pStyle w:val="2"/>
        <w:shd w:val="clear" w:color="auto" w:fill="FFFFFF"/>
        <w:spacing w:before="0" w:beforeAutospacing="0" w:after="0" w:afterAutospacing="0" w:line="600" w:lineRule="exact"/>
        <w:ind w:firstLine="640" w:firstLineChars="200"/>
        <w:jc w:val="both"/>
        <w:rPr>
          <w:rFonts w:hint="eastAsia" w:ascii="仿宋" w:hAnsi="仿宋" w:eastAsia="仿宋"/>
          <w:color w:val="auto"/>
          <w:sz w:val="32"/>
          <w:szCs w:val="32"/>
        </w:rPr>
      </w:pPr>
      <w:r>
        <w:rPr>
          <w:rFonts w:hint="eastAsia" w:ascii="仿宋" w:hAnsi="仿宋" w:eastAsia="仿宋"/>
          <w:color w:val="auto"/>
          <w:sz w:val="32"/>
          <w:szCs w:val="32"/>
        </w:rPr>
        <w:t>（2）预算执行率：该项目实际到位资金</w:t>
      </w:r>
      <w:r>
        <w:rPr>
          <w:rFonts w:hint="eastAsia" w:ascii="仿宋" w:hAnsi="仿宋" w:eastAsia="仿宋"/>
          <w:color w:val="auto"/>
          <w:sz w:val="32"/>
          <w:szCs w:val="32"/>
          <w:lang w:val="en-US" w:eastAsia="zh-CN"/>
        </w:rPr>
        <w:t>75</w:t>
      </w:r>
      <w:r>
        <w:rPr>
          <w:rFonts w:hint="eastAsia" w:ascii="仿宋" w:hAnsi="仿宋" w:eastAsia="仿宋"/>
          <w:color w:val="auto"/>
          <w:sz w:val="32"/>
          <w:szCs w:val="32"/>
        </w:rPr>
        <w:t>万元，截至202</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年12月31日实际支出资金</w:t>
      </w:r>
      <w:r>
        <w:rPr>
          <w:rFonts w:hint="eastAsia" w:ascii="仿宋" w:hAnsi="仿宋" w:eastAsia="仿宋"/>
          <w:color w:val="auto"/>
          <w:sz w:val="32"/>
          <w:szCs w:val="32"/>
          <w:lang w:val="en-US" w:eastAsia="zh-CN"/>
        </w:rPr>
        <w:t>75</w:t>
      </w:r>
      <w:r>
        <w:rPr>
          <w:rFonts w:hint="eastAsia" w:ascii="仿宋" w:hAnsi="仿宋" w:eastAsia="仿宋"/>
          <w:color w:val="auto"/>
          <w:sz w:val="32"/>
          <w:szCs w:val="32"/>
        </w:rPr>
        <w:t>万元</w:t>
      </w:r>
      <w:r>
        <w:rPr>
          <w:rFonts w:hint="eastAsia"/>
          <w:color w:val="auto"/>
          <w:shd w:val="clear" w:color="auto" w:fill="FFFFFF"/>
        </w:rPr>
        <w:t>，</w:t>
      </w:r>
      <w:r>
        <w:rPr>
          <w:rFonts w:hint="eastAsia" w:ascii="仿宋" w:hAnsi="仿宋" w:eastAsia="仿宋"/>
          <w:color w:val="auto"/>
          <w:sz w:val="32"/>
          <w:szCs w:val="32"/>
        </w:rPr>
        <w:t>预算执行率=实际支出资金/实际到位资金×100%=</w:t>
      </w:r>
      <w:r>
        <w:rPr>
          <w:rFonts w:hint="eastAsia" w:ascii="仿宋" w:hAnsi="仿宋" w:eastAsia="仿宋"/>
          <w:color w:val="auto"/>
          <w:sz w:val="32"/>
          <w:szCs w:val="32"/>
          <w:lang w:val="en-US" w:eastAsia="zh-CN"/>
        </w:rPr>
        <w:t>75</w:t>
      </w:r>
      <w:r>
        <w:rPr>
          <w:rFonts w:hint="eastAsia" w:ascii="仿宋" w:hAnsi="仿宋" w:eastAsia="仿宋"/>
          <w:color w:val="auto"/>
          <w:sz w:val="32"/>
          <w:szCs w:val="32"/>
        </w:rPr>
        <w:t>/</w:t>
      </w:r>
      <w:r>
        <w:rPr>
          <w:rFonts w:hint="eastAsia" w:ascii="仿宋" w:hAnsi="仿宋" w:eastAsia="仿宋"/>
          <w:color w:val="auto"/>
          <w:sz w:val="32"/>
          <w:szCs w:val="32"/>
          <w:lang w:val="en-US" w:eastAsia="zh-CN"/>
        </w:rPr>
        <w:t>75</w:t>
      </w:r>
      <w:r>
        <w:rPr>
          <w:rFonts w:hint="eastAsia" w:ascii="仿宋" w:hAnsi="仿宋" w:eastAsia="仿宋"/>
          <w:color w:val="auto"/>
          <w:sz w:val="32"/>
          <w:szCs w:val="32"/>
        </w:rPr>
        <w:t>×100%=</w:t>
      </w:r>
      <w:r>
        <w:rPr>
          <w:rFonts w:hint="eastAsia" w:ascii="仿宋" w:hAnsi="仿宋" w:eastAsia="仿宋"/>
          <w:color w:val="auto"/>
          <w:sz w:val="32"/>
          <w:szCs w:val="32"/>
          <w:lang w:val="en-US" w:eastAsia="zh-CN"/>
        </w:rPr>
        <w:t>100</w:t>
      </w:r>
      <w:r>
        <w:rPr>
          <w:rFonts w:hint="eastAsia" w:ascii="仿宋" w:hAnsi="仿宋" w:eastAsia="仿宋"/>
          <w:color w:val="auto"/>
          <w:sz w:val="32"/>
          <w:szCs w:val="32"/>
        </w:rPr>
        <w:t>%。</w:t>
      </w:r>
      <w:r>
        <w:rPr>
          <w:rFonts w:hint="eastAsia" w:ascii="仿宋" w:hAnsi="仿宋" w:eastAsia="仿宋"/>
          <w:color w:val="auto"/>
          <w:sz w:val="32"/>
          <w:szCs w:val="32"/>
        </w:rPr>
        <w:t>该项指标标准分值5分，评价得分</w:t>
      </w:r>
      <w:r>
        <w:rPr>
          <w:rFonts w:hint="eastAsia" w:ascii="仿宋" w:hAnsi="仿宋" w:eastAsia="仿宋"/>
          <w:color w:val="auto"/>
          <w:sz w:val="32"/>
          <w:szCs w:val="32"/>
          <w:lang w:val="en-US" w:eastAsia="zh-CN"/>
        </w:rPr>
        <w:t>5</w:t>
      </w:r>
      <w:r>
        <w:rPr>
          <w:rFonts w:hint="eastAsia" w:ascii="仿宋" w:hAnsi="仿宋" w:eastAsia="仿宋"/>
          <w:color w:val="auto"/>
          <w:sz w:val="32"/>
          <w:szCs w:val="32"/>
        </w:rPr>
        <w:t>分。</w:t>
      </w:r>
    </w:p>
    <w:p>
      <w:pPr>
        <w:pStyle w:val="2"/>
        <w:shd w:val="clear" w:color="auto" w:fill="FFFFFF"/>
        <w:spacing w:before="0" w:beforeAutospacing="0" w:after="0" w:afterAutospacing="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3）资金使用合规性：评价小组通过抽查项目实施单位的账簿记录、会计凭证以及相关的文件和合同等，项目资金支出基本符合《预算法》、《政府采购法》、《专项资金管理暂行办法》等规定，该项指标标准分值5分，评价得分4分。</w:t>
      </w:r>
    </w:p>
    <w:p>
      <w:pPr>
        <w:tabs>
          <w:tab w:val="left" w:pos="2805"/>
        </w:tabs>
        <w:spacing w:after="0" w:line="600" w:lineRule="exact"/>
        <w:ind w:firstLine="643" w:firstLineChars="200"/>
        <w:jc w:val="both"/>
        <w:rPr>
          <w:rStyle w:val="5"/>
          <w:rFonts w:hint="eastAsia" w:ascii="仿宋_GB2312" w:eastAsia="仿宋_GB2312"/>
          <w:color w:val="333333"/>
          <w:sz w:val="32"/>
          <w:szCs w:val="32"/>
          <w:shd w:val="clear" w:color="auto" w:fill="FFFFFF"/>
        </w:rPr>
      </w:pPr>
      <w:r>
        <w:rPr>
          <w:rStyle w:val="5"/>
          <w:rFonts w:hint="eastAsia" w:ascii="仿宋_GB2312" w:eastAsia="仿宋_GB2312"/>
          <w:color w:val="333333"/>
          <w:sz w:val="32"/>
          <w:szCs w:val="32"/>
          <w:shd w:val="clear" w:color="auto" w:fill="FFFFFF"/>
        </w:rPr>
        <w:t>2.组织实施</w:t>
      </w:r>
    </w:p>
    <w:p>
      <w:pPr>
        <w:tabs>
          <w:tab w:val="left" w:pos="2805"/>
        </w:tabs>
        <w:spacing w:after="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1）管理制度健全性：项目实施单位制定了与项目相关的内部控制制度、财务会计制度、预算管理制度等相关制度，但未提供对下属事业单位的项目资金分配、使用、考核制度。该项指标标准分值5分，评价得分3分。</w:t>
      </w:r>
    </w:p>
    <w:p>
      <w:pPr>
        <w:tabs>
          <w:tab w:val="left" w:pos="2805"/>
        </w:tabs>
        <w:spacing w:after="0" w:line="600" w:lineRule="exact"/>
        <w:ind w:firstLine="640" w:firstLineChars="200"/>
        <w:jc w:val="both"/>
        <w:rPr>
          <w:rFonts w:ascii="仿宋" w:hAnsi="仿宋" w:eastAsia="仿宋"/>
          <w:sz w:val="32"/>
          <w:szCs w:val="32"/>
        </w:rPr>
      </w:pPr>
      <w:r>
        <w:rPr>
          <w:rFonts w:hint="eastAsia" w:ascii="仿宋" w:hAnsi="仿宋" w:eastAsia="仿宋"/>
          <w:sz w:val="32"/>
          <w:szCs w:val="32"/>
        </w:rPr>
        <w:t>（2）制度执行有效性：项目经费补助及政府采购符合制度规定；项目预算资金收支符合财务管理、预算管理、内部控制要求，会计核算规范、审批程序完备、相关资料齐全且及时归档，项目实施的支持条件能及时落实到位。该项指标标准分值5分，评价得分5分。</w:t>
      </w:r>
    </w:p>
    <w:p>
      <w:pPr>
        <w:spacing w:after="0" w:line="600" w:lineRule="exact"/>
        <w:ind w:firstLine="643" w:firstLineChars="200"/>
        <w:jc w:val="both"/>
        <w:rPr>
          <w:rFonts w:hint="eastAsia" w:ascii="楷体" w:hAnsi="楷体" w:eastAsia="楷体"/>
          <w:b/>
          <w:color w:val="auto"/>
          <w:sz w:val="32"/>
          <w:szCs w:val="32"/>
        </w:rPr>
      </w:pPr>
      <w:r>
        <w:rPr>
          <w:rFonts w:hint="eastAsia" w:ascii="楷体" w:hAnsi="楷体" w:eastAsia="楷体"/>
          <w:b/>
          <w:color w:val="auto"/>
          <w:sz w:val="32"/>
          <w:szCs w:val="32"/>
        </w:rPr>
        <w:t>（三）项目产出情况。</w:t>
      </w:r>
    </w:p>
    <w:p>
      <w:pPr>
        <w:spacing w:after="0" w:line="600" w:lineRule="exact"/>
        <w:ind w:firstLine="640" w:firstLineChars="200"/>
        <w:jc w:val="both"/>
        <w:rPr>
          <w:rFonts w:hint="eastAsia" w:ascii="仿宋" w:hAnsi="仿宋" w:eastAsia="仿宋" w:cs="宋体"/>
          <w:color w:val="auto"/>
          <w:sz w:val="32"/>
          <w:szCs w:val="32"/>
        </w:rPr>
      </w:pPr>
      <w:r>
        <w:rPr>
          <w:rFonts w:hint="eastAsia" w:ascii="仿宋" w:hAnsi="仿宋" w:eastAsia="仿宋" w:cs="宋体"/>
          <w:color w:val="auto"/>
          <w:sz w:val="32"/>
          <w:szCs w:val="32"/>
        </w:rPr>
        <w:t>1、产出数量：</w:t>
      </w:r>
      <w:r>
        <w:rPr>
          <w:rFonts w:hint="eastAsia" w:ascii="仿宋" w:hAnsi="仿宋" w:eastAsia="仿宋" w:cs="宋体"/>
          <w:color w:val="auto"/>
          <w:sz w:val="32"/>
          <w:szCs w:val="32"/>
          <w:lang w:eastAsia="zh-CN"/>
        </w:rPr>
        <w:t>采购纸质图书一万余册，上架电子图书</w:t>
      </w:r>
      <w:r>
        <w:rPr>
          <w:rFonts w:hint="eastAsia" w:ascii="仿宋" w:hAnsi="仿宋" w:eastAsia="仿宋" w:cs="宋体"/>
          <w:color w:val="auto"/>
          <w:sz w:val="32"/>
          <w:szCs w:val="32"/>
          <w:lang w:val="en-US" w:eastAsia="zh-CN"/>
        </w:rPr>
        <w:t>3万余册</w:t>
      </w:r>
      <w:r>
        <w:rPr>
          <w:rFonts w:hint="eastAsia" w:ascii="仿宋" w:hAnsi="仿宋" w:eastAsia="仿宋" w:cs="宋体"/>
          <w:color w:val="auto"/>
          <w:sz w:val="32"/>
          <w:szCs w:val="32"/>
        </w:rPr>
        <w:t>。该项指标标准分值8分，评价得分8分。</w:t>
      </w:r>
    </w:p>
    <w:p>
      <w:pPr>
        <w:spacing w:after="0" w:line="600" w:lineRule="exact"/>
        <w:ind w:firstLine="640" w:firstLineChars="200"/>
        <w:jc w:val="both"/>
        <w:rPr>
          <w:rFonts w:hint="eastAsia" w:ascii="微软雅黑" w:hAnsi="微软雅黑"/>
          <w:color w:val="auto"/>
          <w:sz w:val="23"/>
          <w:szCs w:val="23"/>
        </w:rPr>
      </w:pPr>
      <w:r>
        <w:rPr>
          <w:rFonts w:hint="eastAsia" w:ascii="仿宋" w:hAnsi="仿宋" w:eastAsia="仿宋" w:cs="宋体"/>
          <w:color w:val="auto"/>
          <w:sz w:val="32"/>
          <w:szCs w:val="32"/>
        </w:rPr>
        <w:t>2、产出质量：</w:t>
      </w:r>
      <w:r>
        <w:rPr>
          <w:rFonts w:hint="eastAsia" w:ascii="仿宋" w:hAnsi="仿宋" w:eastAsia="仿宋" w:cs="宋体"/>
          <w:color w:val="auto"/>
          <w:sz w:val="32"/>
          <w:szCs w:val="32"/>
          <w:lang w:eastAsia="zh-CN"/>
        </w:rPr>
        <w:t>采购项目、装修</w:t>
      </w:r>
      <w:r>
        <w:rPr>
          <w:rFonts w:hint="eastAsia" w:ascii="仿宋" w:hAnsi="仿宋" w:eastAsia="仿宋"/>
          <w:color w:val="auto"/>
          <w:sz w:val="32"/>
          <w:szCs w:val="32"/>
          <w:lang w:eastAsia="zh-CN"/>
        </w:rPr>
        <w:t>工程均验收合格</w:t>
      </w:r>
      <w:r>
        <w:rPr>
          <w:rFonts w:hint="eastAsia" w:ascii="仿宋" w:hAnsi="仿宋" w:eastAsia="仿宋"/>
          <w:color w:val="auto"/>
          <w:sz w:val="32"/>
          <w:szCs w:val="32"/>
          <w:lang w:val="en-US" w:eastAsia="zh-CN"/>
        </w:rPr>
        <w:t>。</w:t>
      </w:r>
      <w:r>
        <w:rPr>
          <w:rFonts w:hint="eastAsia" w:ascii="仿宋" w:hAnsi="仿宋" w:eastAsia="仿宋"/>
          <w:color w:val="auto"/>
          <w:sz w:val="32"/>
          <w:szCs w:val="32"/>
        </w:rPr>
        <w:t>该项指标标准分值8分，评价得分8分。</w:t>
      </w:r>
    </w:p>
    <w:p>
      <w:pPr>
        <w:spacing w:after="0" w:line="600" w:lineRule="exact"/>
        <w:ind w:firstLine="640" w:firstLineChars="200"/>
        <w:jc w:val="both"/>
        <w:rPr>
          <w:rFonts w:hint="eastAsia" w:ascii="仿宋" w:hAnsi="仿宋" w:eastAsia="仿宋" w:cs="宋体"/>
          <w:color w:val="auto"/>
          <w:sz w:val="32"/>
          <w:szCs w:val="32"/>
        </w:rPr>
      </w:pPr>
      <w:r>
        <w:rPr>
          <w:rFonts w:hint="eastAsia" w:ascii="仿宋" w:hAnsi="仿宋" w:eastAsia="仿宋" w:cs="宋体"/>
          <w:color w:val="auto"/>
          <w:sz w:val="32"/>
          <w:szCs w:val="32"/>
        </w:rPr>
        <w:t>3、产出时效：</w:t>
      </w:r>
      <w:r>
        <w:rPr>
          <w:rFonts w:hint="eastAsia" w:ascii="仿宋" w:hAnsi="仿宋" w:eastAsia="仿宋" w:cs="宋体"/>
          <w:color w:val="auto"/>
          <w:sz w:val="32"/>
          <w:szCs w:val="32"/>
          <w:lang w:eastAsia="zh-CN"/>
        </w:rPr>
        <w:t>采购项目完成及时，工程完工及时。</w:t>
      </w:r>
      <w:r>
        <w:rPr>
          <w:rFonts w:hint="eastAsia" w:ascii="仿宋" w:hAnsi="仿宋" w:eastAsia="仿宋" w:cs="宋体"/>
          <w:color w:val="auto"/>
          <w:sz w:val="32"/>
          <w:szCs w:val="32"/>
        </w:rPr>
        <w:t>该项指标标准分值6分，评价得分6分。</w:t>
      </w:r>
    </w:p>
    <w:p>
      <w:pPr>
        <w:spacing w:after="0" w:line="600" w:lineRule="exact"/>
        <w:ind w:firstLine="640" w:firstLineChars="200"/>
        <w:jc w:val="both"/>
        <w:rPr>
          <w:rFonts w:ascii="微软雅黑" w:hAnsi="微软雅黑"/>
          <w:color w:val="auto"/>
          <w:sz w:val="23"/>
          <w:szCs w:val="23"/>
        </w:rPr>
      </w:pPr>
      <w:r>
        <w:rPr>
          <w:rFonts w:hint="eastAsia" w:ascii="仿宋" w:hAnsi="仿宋" w:eastAsia="仿宋" w:cs="宋体"/>
          <w:color w:val="auto"/>
          <w:sz w:val="32"/>
          <w:szCs w:val="32"/>
          <w:lang w:val="en-US" w:eastAsia="zh-CN"/>
        </w:rPr>
        <w:t>4</w:t>
      </w:r>
      <w:r>
        <w:rPr>
          <w:rFonts w:hint="eastAsia" w:ascii="仿宋" w:hAnsi="仿宋" w:eastAsia="仿宋" w:cs="宋体"/>
          <w:color w:val="auto"/>
          <w:sz w:val="32"/>
          <w:szCs w:val="32"/>
        </w:rPr>
        <w:t>、产出成本：202</w:t>
      </w:r>
      <w:r>
        <w:rPr>
          <w:rFonts w:hint="eastAsia" w:ascii="仿宋" w:hAnsi="仿宋" w:eastAsia="仿宋" w:cs="宋体"/>
          <w:color w:val="auto"/>
          <w:sz w:val="32"/>
          <w:szCs w:val="32"/>
          <w:lang w:val="en-US" w:eastAsia="zh-CN"/>
        </w:rPr>
        <w:t>3</w:t>
      </w:r>
      <w:r>
        <w:rPr>
          <w:rFonts w:hint="eastAsia" w:ascii="仿宋" w:hAnsi="仿宋" w:eastAsia="仿宋" w:cs="宋体"/>
          <w:color w:val="auto"/>
          <w:sz w:val="32"/>
          <w:szCs w:val="32"/>
        </w:rPr>
        <w:t>年</w:t>
      </w:r>
      <w:r>
        <w:rPr>
          <w:rFonts w:hint="eastAsia" w:ascii="仿宋" w:hAnsi="仿宋" w:eastAsia="仿宋" w:cs="宋体"/>
          <w:color w:val="auto"/>
          <w:sz w:val="32"/>
          <w:szCs w:val="32"/>
          <w:lang w:eastAsia="zh-CN"/>
        </w:rPr>
        <w:t>抱石书屋</w:t>
      </w:r>
      <w:r>
        <w:rPr>
          <w:rFonts w:hint="eastAsia" w:ascii="仿宋" w:hAnsi="仿宋" w:eastAsia="仿宋" w:cs="宋体"/>
          <w:color w:val="auto"/>
          <w:sz w:val="32"/>
          <w:szCs w:val="32"/>
        </w:rPr>
        <w:t>计划支出</w:t>
      </w:r>
      <w:r>
        <w:rPr>
          <w:rFonts w:hint="eastAsia" w:ascii="仿宋" w:hAnsi="仿宋" w:eastAsia="仿宋" w:cs="宋体"/>
          <w:color w:val="auto"/>
          <w:sz w:val="32"/>
          <w:szCs w:val="32"/>
          <w:lang w:val="en-US" w:eastAsia="zh-CN"/>
        </w:rPr>
        <w:t>75</w:t>
      </w:r>
      <w:r>
        <w:rPr>
          <w:rFonts w:hint="eastAsia" w:ascii="仿宋" w:hAnsi="仿宋" w:eastAsia="仿宋" w:cs="宋体"/>
          <w:color w:val="auto"/>
          <w:sz w:val="32"/>
          <w:szCs w:val="32"/>
        </w:rPr>
        <w:t>万元，实际支出</w:t>
      </w:r>
      <w:r>
        <w:rPr>
          <w:rFonts w:hint="eastAsia" w:ascii="仿宋" w:hAnsi="仿宋" w:eastAsia="仿宋" w:cs="宋体"/>
          <w:color w:val="auto"/>
          <w:sz w:val="32"/>
          <w:szCs w:val="32"/>
          <w:lang w:val="en-US" w:eastAsia="zh-CN"/>
        </w:rPr>
        <w:t>75</w:t>
      </w:r>
      <w:r>
        <w:rPr>
          <w:rFonts w:hint="eastAsia" w:ascii="仿宋" w:hAnsi="仿宋" w:eastAsia="仿宋" w:cs="宋体"/>
          <w:color w:val="auto"/>
          <w:sz w:val="32"/>
          <w:szCs w:val="32"/>
        </w:rPr>
        <w:t>万元；成本节约率=（计划成本-实际成本）/计划成本×100%=（</w:t>
      </w:r>
      <w:r>
        <w:rPr>
          <w:rFonts w:hint="eastAsia" w:ascii="仿宋" w:hAnsi="仿宋" w:eastAsia="仿宋" w:cs="宋体"/>
          <w:color w:val="auto"/>
          <w:sz w:val="32"/>
          <w:szCs w:val="32"/>
          <w:lang w:val="en-US" w:eastAsia="zh-CN"/>
        </w:rPr>
        <w:t>75</w:t>
      </w:r>
      <w:r>
        <w:rPr>
          <w:rFonts w:hint="eastAsia" w:ascii="仿宋" w:hAnsi="仿宋" w:eastAsia="仿宋" w:cs="宋体"/>
          <w:color w:val="auto"/>
          <w:sz w:val="32"/>
          <w:szCs w:val="32"/>
        </w:rPr>
        <w:t>-</w:t>
      </w:r>
      <w:r>
        <w:rPr>
          <w:rFonts w:hint="eastAsia" w:ascii="仿宋" w:hAnsi="仿宋" w:eastAsia="仿宋" w:cs="宋体"/>
          <w:color w:val="auto"/>
          <w:sz w:val="32"/>
          <w:szCs w:val="32"/>
          <w:lang w:val="en-US" w:eastAsia="zh-CN"/>
        </w:rPr>
        <w:t>75</w:t>
      </w:r>
      <w:r>
        <w:rPr>
          <w:rFonts w:hint="eastAsia" w:ascii="仿宋" w:hAnsi="仿宋" w:eastAsia="仿宋" w:cs="宋体"/>
          <w:color w:val="auto"/>
          <w:sz w:val="32"/>
          <w:szCs w:val="32"/>
        </w:rPr>
        <w:t>）/</w:t>
      </w:r>
      <w:r>
        <w:rPr>
          <w:rFonts w:hint="eastAsia" w:ascii="仿宋" w:hAnsi="仿宋" w:eastAsia="仿宋" w:cs="宋体"/>
          <w:color w:val="auto"/>
          <w:sz w:val="32"/>
          <w:szCs w:val="32"/>
          <w:lang w:val="en-US" w:eastAsia="zh-CN"/>
        </w:rPr>
        <w:t>75</w:t>
      </w:r>
      <w:r>
        <w:rPr>
          <w:rFonts w:hint="eastAsia" w:ascii="仿宋" w:hAnsi="仿宋" w:eastAsia="仿宋" w:cs="宋体"/>
          <w:color w:val="auto"/>
          <w:sz w:val="32"/>
          <w:szCs w:val="32"/>
        </w:rPr>
        <w:t>×100%=0%，该项指标标准分值8分，评价得分8分。</w:t>
      </w:r>
    </w:p>
    <w:p>
      <w:pPr>
        <w:spacing w:after="0" w:line="600" w:lineRule="exact"/>
        <w:ind w:firstLine="643" w:firstLineChars="200"/>
        <w:jc w:val="both"/>
        <w:rPr>
          <w:rFonts w:hint="eastAsia" w:ascii="楷体" w:hAnsi="楷体" w:eastAsia="楷体"/>
          <w:b/>
          <w:color w:val="auto"/>
          <w:sz w:val="32"/>
          <w:szCs w:val="32"/>
        </w:rPr>
      </w:pPr>
      <w:r>
        <w:rPr>
          <w:rFonts w:hint="eastAsia" w:ascii="楷体" w:hAnsi="楷体" w:eastAsia="楷体"/>
          <w:b/>
          <w:color w:val="auto"/>
          <w:sz w:val="32"/>
          <w:szCs w:val="32"/>
        </w:rPr>
        <w:t>（四）项目效益情况。</w:t>
      </w:r>
    </w:p>
    <w:p>
      <w:pPr>
        <w:spacing w:after="0" w:line="600" w:lineRule="exact"/>
        <w:ind w:firstLine="640" w:firstLineChars="200"/>
        <w:jc w:val="both"/>
        <w:rPr>
          <w:rFonts w:hint="eastAsia" w:ascii="仿宋" w:hAnsi="仿宋" w:eastAsia="仿宋" w:cs="宋体"/>
          <w:color w:val="auto"/>
          <w:sz w:val="32"/>
          <w:szCs w:val="32"/>
        </w:rPr>
      </w:pPr>
      <w:r>
        <w:rPr>
          <w:rFonts w:hint="eastAsia" w:ascii="仿宋" w:hAnsi="仿宋" w:eastAsia="仿宋" w:cs="宋体"/>
          <w:color w:val="auto"/>
          <w:sz w:val="32"/>
          <w:szCs w:val="32"/>
        </w:rPr>
        <w:t>通过服务中心、服务群众，夯实文化阵地建设，</w:t>
      </w:r>
      <w:r>
        <w:rPr>
          <w:rFonts w:hint="eastAsia" w:ascii="仿宋" w:hAnsi="仿宋" w:eastAsia="仿宋" w:cs="宋体"/>
          <w:color w:val="auto"/>
          <w:sz w:val="32"/>
          <w:szCs w:val="32"/>
          <w:lang w:eastAsia="zh-CN"/>
        </w:rPr>
        <w:t>社区</w:t>
      </w:r>
      <w:r>
        <w:rPr>
          <w:rFonts w:hint="eastAsia" w:ascii="仿宋" w:hAnsi="仿宋" w:eastAsia="仿宋" w:cs="宋体"/>
          <w:color w:val="auto"/>
          <w:sz w:val="32"/>
          <w:szCs w:val="32"/>
        </w:rPr>
        <w:t>公共文化服务水平明显提高，人民群众的文化获得感显著增强。</w:t>
      </w:r>
    </w:p>
    <w:p>
      <w:pPr>
        <w:spacing w:after="0" w:line="600" w:lineRule="exact"/>
        <w:ind w:firstLine="640" w:firstLineChars="200"/>
        <w:jc w:val="both"/>
        <w:rPr>
          <w:rFonts w:hint="eastAsia" w:ascii="仿宋" w:hAnsi="仿宋" w:eastAsia="仿宋" w:cs="宋体"/>
          <w:color w:val="auto"/>
          <w:sz w:val="32"/>
          <w:szCs w:val="32"/>
        </w:rPr>
      </w:pPr>
      <w:r>
        <w:rPr>
          <w:rFonts w:hint="eastAsia" w:ascii="仿宋" w:hAnsi="仿宋" w:eastAsia="仿宋" w:cs="宋体"/>
          <w:color w:val="auto"/>
          <w:sz w:val="32"/>
          <w:szCs w:val="32"/>
        </w:rPr>
        <w:t>1、</w:t>
      </w:r>
      <w:r>
        <w:rPr>
          <w:rFonts w:hint="eastAsia" w:ascii="仿宋" w:hAnsi="仿宋" w:eastAsia="仿宋" w:cs="宋体"/>
          <w:color w:val="auto"/>
          <w:sz w:val="32"/>
          <w:szCs w:val="32"/>
          <w:lang w:eastAsia="zh-CN"/>
        </w:rPr>
        <w:t>社会</w:t>
      </w:r>
      <w:r>
        <w:rPr>
          <w:rFonts w:hint="eastAsia" w:ascii="仿宋" w:hAnsi="仿宋" w:eastAsia="仿宋" w:cs="宋体"/>
          <w:color w:val="auto"/>
          <w:sz w:val="32"/>
          <w:szCs w:val="32"/>
        </w:rPr>
        <w:t>效益：</w:t>
      </w:r>
      <w:r>
        <w:rPr>
          <w:rFonts w:hint="eastAsia" w:ascii="仿宋" w:hAnsi="仿宋" w:eastAsia="仿宋" w:cs="宋体"/>
          <w:color w:val="auto"/>
          <w:sz w:val="32"/>
          <w:szCs w:val="32"/>
          <w:lang w:eastAsia="zh-CN"/>
        </w:rPr>
        <w:t>社区群</w:t>
      </w:r>
      <w:r>
        <w:rPr>
          <w:rFonts w:hint="eastAsia" w:ascii="仿宋" w:hAnsi="仿宋" w:eastAsia="仿宋" w:cs="宋体"/>
          <w:color w:val="auto"/>
          <w:sz w:val="32"/>
          <w:szCs w:val="32"/>
          <w:lang w:eastAsia="zh-CN"/>
        </w:rPr>
        <w:t>众文化生活品质持续提升</w:t>
      </w:r>
      <w:r>
        <w:rPr>
          <w:rFonts w:hint="eastAsia" w:ascii="仿宋" w:hAnsi="仿宋" w:eastAsia="仿宋" w:cs="宋体"/>
          <w:color w:val="auto"/>
          <w:sz w:val="32"/>
          <w:szCs w:val="32"/>
        </w:rPr>
        <w:t>，社会效益显著，该项指标标准分值</w:t>
      </w:r>
      <w:r>
        <w:rPr>
          <w:rFonts w:hint="eastAsia" w:ascii="仿宋" w:hAnsi="仿宋" w:eastAsia="仿宋" w:cs="宋体"/>
          <w:color w:val="auto"/>
          <w:sz w:val="32"/>
          <w:szCs w:val="32"/>
          <w:lang w:val="en-US" w:eastAsia="zh-CN"/>
        </w:rPr>
        <w:t>10</w:t>
      </w:r>
      <w:r>
        <w:rPr>
          <w:rFonts w:hint="eastAsia" w:ascii="仿宋" w:hAnsi="仿宋" w:eastAsia="仿宋" w:cs="宋体"/>
          <w:color w:val="auto"/>
          <w:sz w:val="32"/>
          <w:szCs w:val="32"/>
        </w:rPr>
        <w:t>分，评价得分</w:t>
      </w:r>
      <w:r>
        <w:rPr>
          <w:rFonts w:hint="eastAsia" w:ascii="仿宋" w:hAnsi="仿宋" w:eastAsia="仿宋" w:cs="宋体"/>
          <w:color w:val="auto"/>
          <w:sz w:val="32"/>
          <w:szCs w:val="32"/>
          <w:lang w:val="en-US" w:eastAsia="zh-CN"/>
        </w:rPr>
        <w:t>9</w:t>
      </w:r>
      <w:r>
        <w:rPr>
          <w:rFonts w:hint="eastAsia" w:ascii="仿宋" w:hAnsi="仿宋" w:eastAsia="仿宋" w:cs="宋体"/>
          <w:color w:val="auto"/>
          <w:sz w:val="32"/>
          <w:szCs w:val="32"/>
        </w:rPr>
        <w:t>分；</w:t>
      </w:r>
      <w:r>
        <w:rPr>
          <w:rFonts w:hint="eastAsia" w:ascii="仿宋" w:hAnsi="仿宋" w:eastAsia="仿宋" w:cs="宋体"/>
          <w:color w:val="auto"/>
          <w:sz w:val="32"/>
          <w:szCs w:val="32"/>
          <w:lang w:eastAsia="zh-CN"/>
        </w:rPr>
        <w:t>抱石书屋建设</w:t>
      </w:r>
      <w:r>
        <w:rPr>
          <w:rFonts w:hint="eastAsia" w:ascii="仿宋" w:hAnsi="仿宋" w:eastAsia="仿宋" w:cs="宋体"/>
          <w:color w:val="auto"/>
          <w:sz w:val="32"/>
          <w:szCs w:val="32"/>
        </w:rPr>
        <w:t>能促进我区</w:t>
      </w:r>
      <w:r>
        <w:rPr>
          <w:rFonts w:hint="eastAsia" w:ascii="仿宋" w:hAnsi="仿宋" w:eastAsia="仿宋" w:cs="宋体"/>
          <w:color w:val="auto"/>
          <w:sz w:val="32"/>
          <w:szCs w:val="32"/>
          <w:lang w:eastAsia="zh-CN"/>
        </w:rPr>
        <w:t>公共文化服务水平持续提升</w:t>
      </w:r>
      <w:r>
        <w:rPr>
          <w:rFonts w:hint="eastAsia" w:ascii="仿宋" w:hAnsi="仿宋" w:eastAsia="仿宋" w:cs="宋体"/>
          <w:color w:val="auto"/>
          <w:sz w:val="32"/>
          <w:szCs w:val="32"/>
        </w:rPr>
        <w:t>，该项指标标准得分</w:t>
      </w:r>
      <w:r>
        <w:rPr>
          <w:rFonts w:hint="eastAsia" w:ascii="仿宋" w:hAnsi="仿宋" w:eastAsia="仿宋" w:cs="宋体"/>
          <w:color w:val="auto"/>
          <w:sz w:val="32"/>
          <w:szCs w:val="32"/>
          <w:lang w:val="en-US" w:eastAsia="zh-CN"/>
        </w:rPr>
        <w:t>10</w:t>
      </w:r>
      <w:r>
        <w:rPr>
          <w:rFonts w:hint="eastAsia" w:ascii="仿宋" w:hAnsi="仿宋" w:eastAsia="仿宋" w:cs="宋体"/>
          <w:color w:val="auto"/>
          <w:sz w:val="32"/>
          <w:szCs w:val="32"/>
        </w:rPr>
        <w:t>分，评价得分</w:t>
      </w:r>
      <w:r>
        <w:rPr>
          <w:rFonts w:hint="eastAsia" w:ascii="仿宋" w:hAnsi="仿宋" w:eastAsia="仿宋" w:cs="宋体"/>
          <w:color w:val="auto"/>
          <w:sz w:val="32"/>
          <w:szCs w:val="32"/>
          <w:lang w:val="en-US" w:eastAsia="zh-CN"/>
        </w:rPr>
        <w:t>9</w:t>
      </w:r>
      <w:r>
        <w:rPr>
          <w:rFonts w:hint="eastAsia" w:ascii="仿宋" w:hAnsi="仿宋" w:eastAsia="仿宋" w:cs="宋体"/>
          <w:color w:val="auto"/>
          <w:sz w:val="32"/>
          <w:szCs w:val="32"/>
        </w:rPr>
        <w:t>分。</w:t>
      </w:r>
    </w:p>
    <w:p>
      <w:pPr>
        <w:spacing w:after="0" w:line="600" w:lineRule="exact"/>
        <w:ind w:firstLine="640" w:firstLineChars="200"/>
        <w:jc w:val="both"/>
        <w:rPr>
          <w:rFonts w:ascii="仿宋" w:hAnsi="仿宋" w:eastAsia="仿宋" w:cs="宋体"/>
          <w:color w:val="auto"/>
          <w:sz w:val="32"/>
          <w:szCs w:val="32"/>
        </w:rPr>
      </w:pPr>
      <w:r>
        <w:rPr>
          <w:rFonts w:hint="eastAsia" w:ascii="仿宋" w:hAnsi="仿宋" w:eastAsia="仿宋" w:cs="宋体"/>
          <w:color w:val="auto"/>
          <w:sz w:val="32"/>
          <w:szCs w:val="32"/>
        </w:rPr>
        <w:t>2、满意度：评价小组通过实地调查，</w:t>
      </w:r>
      <w:r>
        <w:rPr>
          <w:rFonts w:hint="eastAsia" w:ascii="仿宋" w:hAnsi="仿宋" w:eastAsia="仿宋" w:cs="宋体"/>
          <w:color w:val="auto"/>
          <w:sz w:val="32"/>
          <w:szCs w:val="32"/>
          <w:lang w:eastAsia="zh-CN"/>
        </w:rPr>
        <w:t>群众对书房环境满意度</w:t>
      </w:r>
      <w:r>
        <w:rPr>
          <w:rFonts w:hint="eastAsia" w:ascii="仿宋" w:hAnsi="仿宋" w:eastAsia="仿宋" w:cs="宋体"/>
          <w:color w:val="auto"/>
          <w:sz w:val="32"/>
          <w:szCs w:val="32"/>
          <w:lang w:val="en-US" w:eastAsia="zh-CN"/>
        </w:rPr>
        <w:t>95%</w:t>
      </w:r>
      <w:r>
        <w:rPr>
          <w:rFonts w:hint="eastAsia" w:ascii="仿宋" w:hAnsi="仿宋" w:eastAsia="仿宋" w:cs="宋体"/>
          <w:color w:val="auto"/>
          <w:sz w:val="32"/>
          <w:szCs w:val="32"/>
          <w:lang w:eastAsia="zh-CN"/>
        </w:rPr>
        <w:t>，对阅读推广满意度</w:t>
      </w:r>
      <w:r>
        <w:rPr>
          <w:rFonts w:hint="eastAsia" w:ascii="仿宋" w:hAnsi="仿宋" w:eastAsia="仿宋" w:cs="宋体"/>
          <w:color w:val="auto"/>
          <w:sz w:val="32"/>
          <w:szCs w:val="32"/>
          <w:lang w:val="en-US" w:eastAsia="zh-CN"/>
        </w:rPr>
        <w:t>95%，</w:t>
      </w:r>
      <w:r>
        <w:rPr>
          <w:rFonts w:hint="eastAsia" w:ascii="仿宋" w:hAnsi="仿宋" w:eastAsia="仿宋" w:cs="宋体"/>
          <w:color w:val="auto"/>
          <w:sz w:val="32"/>
          <w:szCs w:val="32"/>
        </w:rPr>
        <w:t>受访对象满意度92%，该项指标标准分值10分，评价得分</w:t>
      </w:r>
      <w:r>
        <w:rPr>
          <w:rFonts w:hint="eastAsia" w:ascii="仿宋" w:hAnsi="仿宋" w:eastAsia="仿宋" w:cs="宋体"/>
          <w:color w:val="auto"/>
          <w:sz w:val="32"/>
          <w:szCs w:val="32"/>
          <w:lang w:val="en-US" w:eastAsia="zh-CN"/>
        </w:rPr>
        <w:t>9</w:t>
      </w:r>
      <w:r>
        <w:rPr>
          <w:rFonts w:hint="eastAsia" w:ascii="仿宋" w:hAnsi="仿宋" w:eastAsia="仿宋" w:cs="宋体"/>
          <w:color w:val="auto"/>
          <w:sz w:val="32"/>
          <w:szCs w:val="32"/>
        </w:rPr>
        <w:t>分。</w:t>
      </w:r>
    </w:p>
    <w:p>
      <w:pPr>
        <w:spacing w:after="0" w:line="600" w:lineRule="exact"/>
        <w:ind w:firstLine="640" w:firstLineChars="200"/>
        <w:jc w:val="both"/>
        <w:rPr>
          <w:rFonts w:hint="eastAsia" w:ascii="黑体" w:hAnsi="黑体" w:eastAsia="黑体"/>
          <w:color w:val="auto"/>
          <w:sz w:val="32"/>
          <w:szCs w:val="32"/>
        </w:rPr>
      </w:pPr>
      <w:r>
        <w:rPr>
          <w:rFonts w:hint="eastAsia" w:ascii="黑体" w:hAnsi="黑体" w:eastAsia="黑体"/>
          <w:color w:val="auto"/>
          <w:sz w:val="32"/>
          <w:szCs w:val="32"/>
        </w:rPr>
        <w:t>五、主要经验及做法、存在的问题及原因分析</w:t>
      </w:r>
    </w:p>
    <w:p>
      <w:pPr>
        <w:spacing w:after="0" w:line="600" w:lineRule="exact"/>
        <w:ind w:firstLine="640" w:firstLineChars="200"/>
        <w:jc w:val="both"/>
        <w:rPr>
          <w:rFonts w:hint="eastAsia" w:ascii="仿宋" w:hAnsi="仿宋" w:eastAsia="仿宋" w:cs="宋体"/>
          <w:color w:val="auto"/>
          <w:sz w:val="32"/>
          <w:szCs w:val="32"/>
        </w:rPr>
      </w:pPr>
      <w:r>
        <w:rPr>
          <w:rFonts w:hint="eastAsia" w:ascii="仿宋" w:hAnsi="仿宋" w:eastAsia="仿宋" w:cs="宋体"/>
          <w:color w:val="auto"/>
          <w:sz w:val="32"/>
          <w:szCs w:val="32"/>
        </w:rPr>
        <w:t>“抱石书房”的建成和运营，对提升渝水区市民的文化素质和素养起到了显著的作用。书房提供的10000余册纸质图书和32000余册电子图书，极大地丰富了市民的阅读资源。同时，通过引进智能化图书馆设备，实现了图书馆服务的数字化和自动化，提高了服务效率和读者体验。</w:t>
      </w:r>
    </w:p>
    <w:p>
      <w:pPr>
        <w:spacing w:after="0" w:line="600" w:lineRule="exact"/>
        <w:ind w:firstLine="640" w:firstLineChars="200"/>
        <w:jc w:val="both"/>
        <w:rPr>
          <w:rFonts w:hint="eastAsia" w:ascii="仿宋" w:hAnsi="仿宋" w:eastAsia="仿宋" w:cs="宋体"/>
          <w:color w:val="auto"/>
          <w:sz w:val="32"/>
          <w:szCs w:val="32"/>
        </w:rPr>
      </w:pPr>
      <w:r>
        <w:rPr>
          <w:rFonts w:hint="eastAsia" w:ascii="仿宋" w:hAnsi="仿宋" w:eastAsia="仿宋" w:cs="宋体"/>
          <w:color w:val="auto"/>
          <w:sz w:val="32"/>
          <w:szCs w:val="32"/>
        </w:rPr>
        <w:t>此外，“抱石书房”还成功地将周边社区纳入了“十五分钟阅读圈”，使得更多的市民能够享受到便捷的公共文化服务。这一举措不仅提高了公共文化服务的覆盖面和均等性，也为推动全民阅读、建设书香社会奠定了坚实的基础。“抱石书房”项目的成功实施，是渝水区乃至江西省公共文化服务创新发展的一个缩影。它不仅提升了市民的文化素质和生活质量，也为其他地区提供了宝贵的经验和借鉴。未来，我们期待“抱石书房”能够继续发挥其社会效益，成为推动全民阅读、建设书香社会的重要力量。</w:t>
      </w:r>
    </w:p>
    <w:p>
      <w:pPr>
        <w:spacing w:after="0" w:line="600" w:lineRule="exact"/>
        <w:ind w:firstLine="640" w:firstLineChars="200"/>
        <w:jc w:val="both"/>
        <w:rPr>
          <w:rFonts w:hint="eastAsia" w:ascii="黑体" w:hAnsi="黑体" w:eastAsia="黑体"/>
          <w:sz w:val="32"/>
          <w:szCs w:val="32"/>
        </w:rPr>
      </w:pPr>
      <w:r>
        <w:rPr>
          <w:rFonts w:hint="eastAsia" w:ascii="黑体" w:hAnsi="黑体" w:eastAsia="黑体"/>
          <w:sz w:val="32"/>
          <w:szCs w:val="32"/>
        </w:rPr>
        <w:t>六、有关建议</w:t>
      </w:r>
    </w:p>
    <w:p>
      <w:pPr>
        <w:spacing w:after="0" w:line="600" w:lineRule="exact"/>
        <w:ind w:firstLine="640" w:firstLineChars="200"/>
        <w:jc w:val="both"/>
        <w:rPr>
          <w:rFonts w:hint="eastAsia" w:ascii="仿宋_GB2312" w:eastAsia="仿宋_GB2312"/>
          <w:sz w:val="32"/>
          <w:szCs w:val="32"/>
        </w:rPr>
      </w:pPr>
      <w:r>
        <w:rPr>
          <w:rFonts w:hint="eastAsia" w:ascii="仿宋_GB2312" w:eastAsia="仿宋_GB2312"/>
          <w:sz w:val="32"/>
          <w:szCs w:val="32"/>
        </w:rPr>
        <w:t>1.</w:t>
      </w:r>
      <w:r>
        <w:rPr>
          <w:rFonts w:hint="eastAsia" w:ascii="仿宋_GB2312" w:hAnsi="仿宋" w:eastAsia="仿宋_GB2312"/>
          <w:sz w:val="32"/>
          <w:szCs w:val="32"/>
        </w:rPr>
        <w:t>参照并对比年初设置的绩效目标，强化支出分析，对今后实际支出预算过快</w:t>
      </w:r>
      <w:r>
        <w:rPr>
          <w:rFonts w:hint="eastAsia" w:ascii="仿宋_GB2312" w:eastAsia="仿宋_GB2312"/>
          <w:sz w:val="32"/>
          <w:szCs w:val="32"/>
        </w:rPr>
        <w:t>或过慢、占比不合理的情况，及时控制并纠正，督促未完成的项目要抓紧时间，加快进度，保障项目尽快投入使用，确保全年绩效目标顺利完成。</w:t>
      </w:r>
    </w:p>
    <w:p>
      <w:pPr>
        <w:spacing w:after="0" w:line="600" w:lineRule="exact"/>
        <w:ind w:firstLine="640" w:firstLineChars="200"/>
        <w:jc w:val="both"/>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.要严格按照专项资金管理办法规范使用，在投入建设同时，加强使用管理，专款专用，提高财政资金使用的合规性。</w:t>
      </w:r>
    </w:p>
    <w:p>
      <w:pPr>
        <w:spacing w:after="0" w:line="600" w:lineRule="exact"/>
        <w:ind w:firstLine="640" w:firstLineChars="200"/>
        <w:jc w:val="both"/>
        <w:rPr>
          <w:rFonts w:hint="eastAsia" w:ascii="仿宋_GB2312" w:hAnsi="仿宋"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.要切实加大对基层文化建设的投入，进一步加强与学校、社区的合作，推动阅读教育和文化普及工作</w:t>
      </w:r>
      <w:r>
        <w:rPr>
          <w:rFonts w:hint="eastAsia" w:ascii="仿宋_GB2312" w:eastAsia="仿宋_GB2312"/>
          <w:sz w:val="32"/>
          <w:szCs w:val="32"/>
          <w:lang w:eastAsia="zh-CN"/>
        </w:rPr>
        <w:t>；</w:t>
      </w:r>
      <w:r>
        <w:rPr>
          <w:rFonts w:hint="eastAsia" w:ascii="仿宋_GB2312" w:eastAsia="仿宋_GB2312"/>
          <w:sz w:val="32"/>
          <w:szCs w:val="32"/>
        </w:rPr>
        <w:t>探索更多的智能化服务，如利用大数据和人工智能技术，为读者提供更加个性化的阅读推荐和服务。</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七、其他需要说明的问题</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无</w:t>
      </w:r>
    </w:p>
    <w:p>
      <w:pPr>
        <w:spacing w:line="578" w:lineRule="exact"/>
        <w:jc w:val="center"/>
        <w:rPr>
          <w:rFonts w:ascii="方正小标宋简体" w:hAnsi="方正小标宋简体" w:eastAsia="方正小标宋简体" w:cs="方正小标宋简体"/>
          <w:bCs/>
          <w:sz w:val="44"/>
          <w:szCs w:val="44"/>
        </w:rPr>
      </w:pPr>
      <w:bookmarkStart w:id="0" w:name="_GoBack"/>
      <w:bookmarkEnd w:id="0"/>
      <w:r>
        <w:rPr>
          <w:rFonts w:hint="eastAsia" w:ascii="方正小标宋简体" w:hAnsi="方正小标宋简体" w:eastAsia="方正小标宋简体" w:cs="方正小标宋简体"/>
          <w:bCs/>
          <w:sz w:val="44"/>
          <w:szCs w:val="44"/>
        </w:rPr>
        <w:t>部门评价表</w:t>
      </w:r>
    </w:p>
    <w:tbl>
      <w:tblPr>
        <w:tblStyle w:val="3"/>
        <w:tblpPr w:leftFromText="180" w:rightFromText="180" w:vertAnchor="text" w:horzAnchor="margin" w:tblpY="1189"/>
        <w:tblOverlap w:val="never"/>
        <w:tblW w:w="86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1361"/>
        <w:gridCol w:w="497"/>
        <w:gridCol w:w="419"/>
        <w:gridCol w:w="703"/>
        <w:gridCol w:w="354"/>
        <w:gridCol w:w="215"/>
        <w:gridCol w:w="759"/>
        <w:gridCol w:w="231"/>
        <w:gridCol w:w="1034"/>
        <w:gridCol w:w="579"/>
        <w:gridCol w:w="423"/>
        <w:gridCol w:w="358"/>
        <w:gridCol w:w="23"/>
        <w:gridCol w:w="1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2"/>
            <w:vAlign w:val="center"/>
          </w:tcPr>
          <w:p>
            <w:pPr>
              <w:spacing w:line="300" w:lineRule="exact"/>
              <w:jc w:val="center"/>
              <w:rPr>
                <w:rFonts w:ascii="宋体" w:hAnsi="宋体"/>
                <w:szCs w:val="21"/>
              </w:rPr>
            </w:pPr>
            <w:r>
              <w:rPr>
                <w:rFonts w:hint="eastAsia" w:ascii="宋体" w:hAnsi="宋体" w:eastAsia="宋体"/>
                <w:sz w:val="21"/>
                <w:szCs w:val="21"/>
              </w:rPr>
              <w:t>项目名称：</w:t>
            </w:r>
          </w:p>
        </w:tc>
        <w:tc>
          <w:tcPr>
            <w:tcW w:w="6822" w:type="dxa"/>
            <w:gridSpan w:val="12"/>
            <w:vAlign w:val="center"/>
          </w:tcPr>
          <w:p>
            <w:pPr>
              <w:spacing w:line="300" w:lineRule="exact"/>
              <w:rPr>
                <w:rFonts w:hint="eastAsia" w:ascii="宋体" w:hAnsi="宋体" w:eastAsia="微软雅黑"/>
                <w:szCs w:val="21"/>
                <w:lang w:eastAsia="zh-CN"/>
              </w:rPr>
            </w:pPr>
            <w:r>
              <w:rPr>
                <w:rFonts w:hint="eastAsia" w:ascii="宋体" w:hAnsi="宋体" w:eastAsia="宋体"/>
                <w:sz w:val="21"/>
                <w:szCs w:val="21"/>
                <w:lang w:eastAsia="zh-CN"/>
              </w:rPr>
              <w:t>抱石书屋项目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2"/>
            <w:vAlign w:val="center"/>
          </w:tcPr>
          <w:p>
            <w:pPr>
              <w:spacing w:line="300" w:lineRule="exact"/>
              <w:jc w:val="center"/>
              <w:rPr>
                <w:rFonts w:ascii="宋体" w:hAnsi="宋体"/>
                <w:szCs w:val="21"/>
              </w:rPr>
            </w:pPr>
            <w:r>
              <w:rPr>
                <w:rFonts w:hint="eastAsia" w:ascii="宋体" w:hAnsi="宋体" w:eastAsia="宋体"/>
                <w:sz w:val="21"/>
                <w:szCs w:val="21"/>
              </w:rPr>
              <w:t>主管部门</w:t>
            </w:r>
          </w:p>
        </w:tc>
        <w:tc>
          <w:tcPr>
            <w:tcW w:w="1476" w:type="dxa"/>
            <w:gridSpan w:val="3"/>
            <w:vAlign w:val="center"/>
          </w:tcPr>
          <w:p>
            <w:pPr>
              <w:spacing w:line="300" w:lineRule="exact"/>
              <w:jc w:val="center"/>
              <w:rPr>
                <w:rFonts w:ascii="宋体" w:hAnsi="宋体"/>
                <w:szCs w:val="21"/>
              </w:rPr>
            </w:pPr>
            <w:r>
              <w:rPr>
                <w:rFonts w:hint="eastAsia" w:ascii="宋体" w:hAnsi="宋体" w:eastAsia="宋体"/>
                <w:sz w:val="21"/>
                <w:szCs w:val="21"/>
                <w:lang w:eastAsia="zh-CN"/>
              </w:rPr>
              <w:t>渝水区文广新旅局</w:t>
            </w:r>
          </w:p>
        </w:tc>
        <w:tc>
          <w:tcPr>
            <w:tcW w:w="3241" w:type="dxa"/>
            <w:gridSpan w:val="6"/>
            <w:vAlign w:val="center"/>
          </w:tcPr>
          <w:p>
            <w:pPr>
              <w:spacing w:line="300" w:lineRule="exact"/>
              <w:jc w:val="center"/>
              <w:rPr>
                <w:rFonts w:ascii="宋体" w:hAnsi="宋体"/>
                <w:szCs w:val="21"/>
              </w:rPr>
            </w:pPr>
            <w:r>
              <w:rPr>
                <w:rFonts w:hint="eastAsia" w:ascii="宋体" w:hAnsi="宋体" w:eastAsia="宋体"/>
                <w:sz w:val="21"/>
                <w:szCs w:val="21"/>
              </w:rPr>
              <w:t>项目实施单位</w:t>
            </w:r>
          </w:p>
        </w:tc>
        <w:tc>
          <w:tcPr>
            <w:tcW w:w="2105" w:type="dxa"/>
            <w:gridSpan w:val="3"/>
            <w:vAlign w:val="center"/>
          </w:tcPr>
          <w:p>
            <w:pPr>
              <w:spacing w:line="300" w:lineRule="exact"/>
              <w:jc w:val="center"/>
              <w:rPr>
                <w:rFonts w:hint="eastAsia" w:ascii="宋体" w:hAnsi="宋体" w:eastAsia="微软雅黑"/>
                <w:szCs w:val="21"/>
                <w:lang w:eastAsia="zh-CN"/>
              </w:rPr>
            </w:pPr>
            <w:r>
              <w:rPr>
                <w:rFonts w:hint="eastAsia" w:ascii="宋体" w:hAnsi="宋体" w:eastAsia="宋体"/>
                <w:sz w:val="21"/>
                <w:szCs w:val="21"/>
                <w:lang w:eastAsia="zh-CN"/>
              </w:rPr>
              <w:t>渝水区图书馆、龙泉湾社区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2"/>
            <w:vAlign w:val="center"/>
          </w:tcPr>
          <w:p>
            <w:pPr>
              <w:spacing w:line="300" w:lineRule="exact"/>
              <w:jc w:val="center"/>
              <w:rPr>
                <w:rFonts w:ascii="宋体" w:hAnsi="宋体"/>
                <w:szCs w:val="21"/>
              </w:rPr>
            </w:pPr>
            <w:r>
              <w:rPr>
                <w:rFonts w:hint="eastAsia" w:ascii="宋体" w:hAnsi="宋体" w:eastAsia="宋体"/>
                <w:sz w:val="21"/>
                <w:szCs w:val="21"/>
              </w:rPr>
              <w:t>项目负责人</w:t>
            </w:r>
          </w:p>
        </w:tc>
        <w:tc>
          <w:tcPr>
            <w:tcW w:w="1476" w:type="dxa"/>
            <w:gridSpan w:val="3"/>
            <w:vAlign w:val="center"/>
          </w:tcPr>
          <w:p>
            <w:pPr>
              <w:spacing w:line="300" w:lineRule="exact"/>
              <w:jc w:val="center"/>
              <w:rPr>
                <w:rFonts w:hint="eastAsia" w:ascii="宋体" w:hAnsi="宋体" w:eastAsia="微软雅黑"/>
                <w:szCs w:val="21"/>
                <w:lang w:eastAsia="zh-CN"/>
              </w:rPr>
            </w:pPr>
            <w:r>
              <w:rPr>
                <w:rFonts w:hint="eastAsia" w:ascii="宋体" w:hAnsi="宋体" w:eastAsia="宋体"/>
                <w:sz w:val="21"/>
                <w:szCs w:val="21"/>
                <w:lang w:eastAsia="zh-CN"/>
              </w:rPr>
              <w:t>胡小虎</w:t>
            </w:r>
          </w:p>
        </w:tc>
        <w:tc>
          <w:tcPr>
            <w:tcW w:w="3241" w:type="dxa"/>
            <w:gridSpan w:val="6"/>
            <w:vAlign w:val="center"/>
          </w:tcPr>
          <w:p>
            <w:pPr>
              <w:spacing w:line="300" w:lineRule="exact"/>
              <w:jc w:val="center"/>
              <w:rPr>
                <w:rFonts w:ascii="宋体" w:hAnsi="宋体"/>
                <w:szCs w:val="21"/>
              </w:rPr>
            </w:pPr>
            <w:r>
              <w:rPr>
                <w:rFonts w:hint="eastAsia" w:ascii="宋体" w:hAnsi="宋体" w:eastAsia="宋体"/>
                <w:sz w:val="21"/>
                <w:szCs w:val="21"/>
              </w:rPr>
              <w:t>联系电话</w:t>
            </w:r>
          </w:p>
        </w:tc>
        <w:tc>
          <w:tcPr>
            <w:tcW w:w="2105" w:type="dxa"/>
            <w:gridSpan w:val="3"/>
            <w:vAlign w:val="center"/>
          </w:tcPr>
          <w:p>
            <w:pPr>
              <w:spacing w:line="300" w:lineRule="exact"/>
              <w:jc w:val="center"/>
              <w:rPr>
                <w:rFonts w:hint="default" w:ascii="宋体" w:hAnsi="宋体" w:eastAsia="微软雅黑"/>
                <w:szCs w:val="21"/>
                <w:lang w:val="en-US" w:eastAsia="zh-CN"/>
              </w:rPr>
            </w:pPr>
            <w:r>
              <w:rPr>
                <w:rFonts w:hint="eastAsia" w:ascii="宋体" w:hAnsi="宋体"/>
                <w:szCs w:val="21"/>
                <w:lang w:val="en-US" w:eastAsia="zh-CN"/>
              </w:rPr>
              <w:t>13507903435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2"/>
            <w:vAlign w:val="center"/>
          </w:tcPr>
          <w:p>
            <w:pPr>
              <w:spacing w:line="300" w:lineRule="exact"/>
              <w:jc w:val="center"/>
              <w:rPr>
                <w:rFonts w:ascii="宋体" w:hAnsi="宋体"/>
                <w:szCs w:val="21"/>
              </w:rPr>
            </w:pPr>
            <w:r>
              <w:rPr>
                <w:rFonts w:hint="eastAsia" w:ascii="宋体" w:hAnsi="宋体" w:eastAsia="宋体"/>
                <w:sz w:val="21"/>
                <w:szCs w:val="21"/>
              </w:rPr>
              <w:t>项目类型</w:t>
            </w:r>
          </w:p>
        </w:tc>
        <w:tc>
          <w:tcPr>
            <w:tcW w:w="6822" w:type="dxa"/>
            <w:gridSpan w:val="12"/>
            <w:vAlign w:val="center"/>
          </w:tcPr>
          <w:p>
            <w:pPr>
              <w:spacing w:line="300" w:lineRule="exact"/>
              <w:jc w:val="center"/>
              <w:rPr>
                <w:rFonts w:ascii="宋体" w:hAnsi="宋体"/>
                <w:szCs w:val="21"/>
              </w:rPr>
            </w:pPr>
            <w:r>
              <w:rPr>
                <w:rFonts w:hint="eastAsia" w:ascii="宋体" w:hAnsi="宋体" w:eastAsia="宋体"/>
                <w:sz w:val="21"/>
                <w:szCs w:val="21"/>
              </w:rPr>
              <w:t>经常性项目（ √  ）       一次性项目（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00" w:hRule="atLeast"/>
        </w:trPr>
        <w:tc>
          <w:tcPr>
            <w:tcW w:w="1858" w:type="dxa"/>
            <w:gridSpan w:val="2"/>
            <w:vAlign w:val="center"/>
          </w:tcPr>
          <w:p>
            <w:pPr>
              <w:spacing w:line="240" w:lineRule="exact"/>
              <w:jc w:val="center"/>
              <w:rPr>
                <w:rFonts w:ascii="宋体" w:hAnsi="宋体"/>
                <w:szCs w:val="21"/>
              </w:rPr>
            </w:pPr>
            <w:r>
              <w:rPr>
                <w:rFonts w:hint="eastAsia" w:ascii="宋体" w:hAnsi="宋体" w:eastAsia="宋体"/>
                <w:sz w:val="21"/>
                <w:szCs w:val="21"/>
              </w:rPr>
              <w:t>计划投资额</w:t>
            </w:r>
          </w:p>
          <w:p>
            <w:pPr>
              <w:spacing w:line="240" w:lineRule="exact"/>
              <w:jc w:val="center"/>
              <w:rPr>
                <w:rFonts w:ascii="宋体" w:hAnsi="宋体"/>
                <w:szCs w:val="21"/>
              </w:rPr>
            </w:pPr>
            <w:r>
              <w:rPr>
                <w:rFonts w:hint="eastAsia" w:ascii="宋体" w:hAnsi="宋体" w:eastAsia="宋体"/>
                <w:sz w:val="21"/>
                <w:szCs w:val="21"/>
              </w:rPr>
              <w:t>（万元）</w:t>
            </w:r>
          </w:p>
        </w:tc>
        <w:tc>
          <w:tcPr>
            <w:tcW w:w="1122" w:type="dxa"/>
            <w:gridSpan w:val="2"/>
            <w:vAlign w:val="center"/>
          </w:tcPr>
          <w:p>
            <w:pPr>
              <w:spacing w:line="240" w:lineRule="exact"/>
              <w:jc w:val="center"/>
              <w:rPr>
                <w:rFonts w:hint="default" w:ascii="宋体" w:hAnsi="宋体" w:eastAsia="微软雅黑"/>
                <w:szCs w:val="21"/>
                <w:lang w:val="en-US" w:eastAsia="zh-CN"/>
              </w:rPr>
            </w:pPr>
            <w:r>
              <w:rPr>
                <w:rFonts w:hint="eastAsia" w:ascii="宋体" w:hAnsi="宋体"/>
                <w:szCs w:val="21"/>
                <w:lang w:val="en-US" w:eastAsia="zh-CN"/>
              </w:rPr>
              <w:t>75</w:t>
            </w:r>
          </w:p>
        </w:tc>
        <w:tc>
          <w:tcPr>
            <w:tcW w:w="1559" w:type="dxa"/>
            <w:gridSpan w:val="4"/>
            <w:vAlign w:val="center"/>
          </w:tcPr>
          <w:p>
            <w:pPr>
              <w:spacing w:line="240" w:lineRule="exact"/>
              <w:jc w:val="center"/>
              <w:rPr>
                <w:rFonts w:ascii="宋体" w:hAnsi="宋体"/>
                <w:szCs w:val="21"/>
              </w:rPr>
            </w:pPr>
            <w:r>
              <w:rPr>
                <w:rFonts w:hint="eastAsia" w:ascii="宋体" w:hAnsi="宋体" w:eastAsia="宋体"/>
                <w:sz w:val="21"/>
                <w:szCs w:val="21"/>
              </w:rPr>
              <w:t>实际到位资金（万元）</w:t>
            </w:r>
          </w:p>
        </w:tc>
        <w:tc>
          <w:tcPr>
            <w:tcW w:w="1034" w:type="dxa"/>
            <w:vAlign w:val="center"/>
          </w:tcPr>
          <w:p>
            <w:pPr>
              <w:spacing w:line="240" w:lineRule="exact"/>
              <w:jc w:val="center"/>
              <w:rPr>
                <w:rFonts w:hint="default" w:ascii="宋体" w:hAnsi="宋体" w:eastAsia="微软雅黑"/>
                <w:szCs w:val="21"/>
                <w:lang w:val="en-US" w:eastAsia="zh-CN"/>
              </w:rPr>
            </w:pPr>
            <w:r>
              <w:rPr>
                <w:rFonts w:hint="eastAsia" w:ascii="宋体" w:hAnsi="宋体"/>
                <w:szCs w:val="21"/>
                <w:lang w:val="en-US" w:eastAsia="zh-CN"/>
              </w:rPr>
              <w:t>75</w:t>
            </w:r>
          </w:p>
        </w:tc>
        <w:tc>
          <w:tcPr>
            <w:tcW w:w="1383" w:type="dxa"/>
            <w:gridSpan w:val="4"/>
            <w:vAlign w:val="center"/>
          </w:tcPr>
          <w:p>
            <w:pPr>
              <w:spacing w:line="240" w:lineRule="exact"/>
              <w:jc w:val="center"/>
              <w:rPr>
                <w:rFonts w:ascii="宋体" w:hAnsi="宋体"/>
                <w:szCs w:val="21"/>
              </w:rPr>
            </w:pPr>
            <w:r>
              <w:rPr>
                <w:rFonts w:hint="eastAsia" w:ascii="宋体" w:hAnsi="宋体" w:eastAsia="宋体"/>
                <w:sz w:val="21"/>
                <w:szCs w:val="21"/>
              </w:rPr>
              <w:t>实际使用情况（万元）</w:t>
            </w:r>
          </w:p>
        </w:tc>
        <w:tc>
          <w:tcPr>
            <w:tcW w:w="1724" w:type="dxa"/>
            <w:vAlign w:val="center"/>
          </w:tcPr>
          <w:p>
            <w:pPr>
              <w:spacing w:line="240" w:lineRule="exact"/>
              <w:jc w:val="center"/>
              <w:rPr>
                <w:rFonts w:hint="default" w:ascii="宋体" w:hAnsi="宋体" w:eastAsia="微软雅黑"/>
                <w:szCs w:val="21"/>
                <w:lang w:val="en-US" w:eastAsia="zh-CN"/>
              </w:rPr>
            </w:pPr>
            <w:r>
              <w:rPr>
                <w:rFonts w:hint="eastAsia" w:ascii="宋体" w:hAnsi="宋体"/>
                <w:szCs w:val="21"/>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2"/>
            <w:vAlign w:val="center"/>
          </w:tcPr>
          <w:p>
            <w:pPr>
              <w:spacing w:line="300" w:lineRule="exact"/>
              <w:jc w:val="center"/>
              <w:rPr>
                <w:rFonts w:ascii="宋体" w:hAnsi="宋体"/>
                <w:szCs w:val="21"/>
              </w:rPr>
            </w:pPr>
            <w:r>
              <w:rPr>
                <w:rFonts w:hint="eastAsia" w:ascii="宋体" w:hAnsi="宋体" w:eastAsia="宋体"/>
                <w:sz w:val="21"/>
                <w:szCs w:val="21"/>
              </w:rPr>
              <w:t>其中：中央财政</w:t>
            </w:r>
          </w:p>
        </w:tc>
        <w:tc>
          <w:tcPr>
            <w:tcW w:w="1122" w:type="dxa"/>
            <w:gridSpan w:val="2"/>
            <w:vAlign w:val="center"/>
          </w:tcPr>
          <w:p>
            <w:pPr>
              <w:spacing w:line="300" w:lineRule="exact"/>
              <w:jc w:val="center"/>
              <w:rPr>
                <w:rFonts w:hint="default" w:ascii="宋体" w:hAnsi="宋体" w:eastAsia="微软雅黑"/>
                <w:szCs w:val="21"/>
                <w:lang w:val="en-US" w:eastAsia="zh-CN"/>
              </w:rPr>
            </w:pPr>
          </w:p>
        </w:tc>
        <w:tc>
          <w:tcPr>
            <w:tcW w:w="1559" w:type="dxa"/>
            <w:gridSpan w:val="4"/>
            <w:vAlign w:val="center"/>
          </w:tcPr>
          <w:p>
            <w:pPr>
              <w:spacing w:line="300" w:lineRule="exact"/>
              <w:jc w:val="center"/>
              <w:rPr>
                <w:rFonts w:ascii="宋体" w:hAnsi="宋体"/>
                <w:szCs w:val="21"/>
              </w:rPr>
            </w:pPr>
            <w:r>
              <w:rPr>
                <w:rFonts w:hint="eastAsia" w:ascii="宋体" w:hAnsi="宋体" w:eastAsia="宋体"/>
                <w:sz w:val="21"/>
                <w:szCs w:val="21"/>
              </w:rPr>
              <w:t>其中：中央财政</w:t>
            </w:r>
          </w:p>
        </w:tc>
        <w:tc>
          <w:tcPr>
            <w:tcW w:w="1034" w:type="dxa"/>
            <w:vAlign w:val="center"/>
          </w:tcPr>
          <w:p>
            <w:pPr>
              <w:spacing w:line="300" w:lineRule="exact"/>
              <w:jc w:val="center"/>
              <w:rPr>
                <w:rFonts w:hint="default" w:ascii="宋体" w:hAnsi="宋体" w:eastAsia="微软雅黑"/>
                <w:szCs w:val="21"/>
                <w:lang w:val="en-US" w:eastAsia="zh-CN"/>
              </w:rPr>
            </w:pPr>
          </w:p>
        </w:tc>
        <w:tc>
          <w:tcPr>
            <w:tcW w:w="1383" w:type="dxa"/>
            <w:gridSpan w:val="4"/>
            <w:vAlign w:val="center"/>
          </w:tcPr>
          <w:p>
            <w:pPr>
              <w:spacing w:line="300" w:lineRule="exact"/>
              <w:jc w:val="center"/>
              <w:rPr>
                <w:rFonts w:ascii="宋体" w:hAnsi="宋体"/>
                <w:szCs w:val="21"/>
              </w:rPr>
            </w:pPr>
          </w:p>
        </w:tc>
        <w:tc>
          <w:tcPr>
            <w:tcW w:w="1724" w:type="dxa"/>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2"/>
            <w:vAlign w:val="center"/>
          </w:tcPr>
          <w:p>
            <w:pPr>
              <w:spacing w:line="300" w:lineRule="exact"/>
              <w:jc w:val="center"/>
              <w:rPr>
                <w:rFonts w:ascii="宋体" w:hAnsi="宋体"/>
                <w:szCs w:val="21"/>
              </w:rPr>
            </w:pPr>
            <w:r>
              <w:rPr>
                <w:rFonts w:hint="eastAsia" w:ascii="宋体" w:hAnsi="宋体" w:eastAsia="宋体"/>
                <w:sz w:val="21"/>
                <w:szCs w:val="21"/>
              </w:rPr>
              <w:t>省财政</w:t>
            </w:r>
          </w:p>
        </w:tc>
        <w:tc>
          <w:tcPr>
            <w:tcW w:w="1122" w:type="dxa"/>
            <w:gridSpan w:val="2"/>
            <w:vAlign w:val="center"/>
          </w:tcPr>
          <w:p>
            <w:pPr>
              <w:spacing w:line="300" w:lineRule="exact"/>
              <w:jc w:val="center"/>
              <w:rPr>
                <w:rFonts w:hint="default" w:ascii="宋体" w:hAnsi="宋体" w:eastAsia="微软雅黑"/>
                <w:szCs w:val="21"/>
                <w:lang w:val="en-US" w:eastAsia="zh-CN"/>
              </w:rPr>
            </w:pPr>
          </w:p>
        </w:tc>
        <w:tc>
          <w:tcPr>
            <w:tcW w:w="1559" w:type="dxa"/>
            <w:gridSpan w:val="4"/>
            <w:vAlign w:val="center"/>
          </w:tcPr>
          <w:p>
            <w:pPr>
              <w:spacing w:line="300" w:lineRule="exact"/>
              <w:jc w:val="center"/>
              <w:rPr>
                <w:rFonts w:ascii="宋体" w:hAnsi="宋体"/>
                <w:szCs w:val="21"/>
              </w:rPr>
            </w:pPr>
            <w:r>
              <w:rPr>
                <w:rFonts w:hint="eastAsia" w:ascii="宋体" w:hAnsi="宋体" w:eastAsia="宋体"/>
                <w:sz w:val="21"/>
                <w:szCs w:val="21"/>
              </w:rPr>
              <w:t>省财政</w:t>
            </w:r>
          </w:p>
        </w:tc>
        <w:tc>
          <w:tcPr>
            <w:tcW w:w="1034" w:type="dxa"/>
            <w:vAlign w:val="center"/>
          </w:tcPr>
          <w:p>
            <w:pPr>
              <w:spacing w:line="300" w:lineRule="exact"/>
              <w:jc w:val="center"/>
              <w:rPr>
                <w:rFonts w:hint="default" w:ascii="宋体" w:hAnsi="宋体" w:eastAsia="微软雅黑"/>
                <w:szCs w:val="21"/>
                <w:lang w:val="en-US" w:eastAsia="zh-CN"/>
              </w:rPr>
            </w:pPr>
          </w:p>
        </w:tc>
        <w:tc>
          <w:tcPr>
            <w:tcW w:w="1383" w:type="dxa"/>
            <w:gridSpan w:val="4"/>
            <w:vAlign w:val="center"/>
          </w:tcPr>
          <w:p>
            <w:pPr>
              <w:spacing w:line="300" w:lineRule="exact"/>
              <w:jc w:val="center"/>
              <w:rPr>
                <w:rFonts w:ascii="宋体" w:hAnsi="宋体"/>
                <w:szCs w:val="21"/>
              </w:rPr>
            </w:pPr>
          </w:p>
        </w:tc>
        <w:tc>
          <w:tcPr>
            <w:tcW w:w="1724" w:type="dxa"/>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2"/>
            <w:vAlign w:val="center"/>
          </w:tcPr>
          <w:p>
            <w:pPr>
              <w:spacing w:line="300" w:lineRule="exact"/>
              <w:jc w:val="center"/>
              <w:rPr>
                <w:rFonts w:ascii="宋体" w:hAnsi="宋体"/>
                <w:szCs w:val="21"/>
              </w:rPr>
            </w:pPr>
            <w:r>
              <w:rPr>
                <w:rFonts w:hint="eastAsia" w:ascii="宋体" w:hAnsi="宋体" w:eastAsia="宋体"/>
                <w:sz w:val="21"/>
                <w:szCs w:val="21"/>
              </w:rPr>
              <w:t>市县财政</w:t>
            </w:r>
          </w:p>
        </w:tc>
        <w:tc>
          <w:tcPr>
            <w:tcW w:w="1122" w:type="dxa"/>
            <w:gridSpan w:val="2"/>
            <w:vAlign w:val="center"/>
          </w:tcPr>
          <w:p>
            <w:pPr>
              <w:spacing w:line="300" w:lineRule="exact"/>
              <w:jc w:val="center"/>
              <w:rPr>
                <w:rFonts w:ascii="宋体" w:hAnsi="宋体"/>
                <w:szCs w:val="21"/>
              </w:rPr>
            </w:pPr>
          </w:p>
        </w:tc>
        <w:tc>
          <w:tcPr>
            <w:tcW w:w="1559" w:type="dxa"/>
            <w:gridSpan w:val="4"/>
            <w:vAlign w:val="center"/>
          </w:tcPr>
          <w:p>
            <w:pPr>
              <w:spacing w:line="300" w:lineRule="exact"/>
              <w:jc w:val="center"/>
              <w:rPr>
                <w:rFonts w:ascii="宋体" w:hAnsi="宋体"/>
                <w:szCs w:val="21"/>
              </w:rPr>
            </w:pPr>
            <w:r>
              <w:rPr>
                <w:rFonts w:hint="eastAsia" w:ascii="宋体" w:hAnsi="宋体" w:eastAsia="宋体"/>
                <w:sz w:val="21"/>
                <w:szCs w:val="21"/>
              </w:rPr>
              <w:t>市县财政</w:t>
            </w:r>
          </w:p>
        </w:tc>
        <w:tc>
          <w:tcPr>
            <w:tcW w:w="1034" w:type="dxa"/>
            <w:vAlign w:val="center"/>
          </w:tcPr>
          <w:p>
            <w:pPr>
              <w:spacing w:line="300" w:lineRule="exact"/>
              <w:jc w:val="center"/>
              <w:rPr>
                <w:rFonts w:ascii="宋体" w:hAnsi="宋体"/>
                <w:szCs w:val="21"/>
              </w:rPr>
            </w:pPr>
          </w:p>
        </w:tc>
        <w:tc>
          <w:tcPr>
            <w:tcW w:w="1383" w:type="dxa"/>
            <w:gridSpan w:val="4"/>
            <w:vAlign w:val="center"/>
          </w:tcPr>
          <w:p>
            <w:pPr>
              <w:spacing w:line="300" w:lineRule="exact"/>
              <w:jc w:val="center"/>
              <w:rPr>
                <w:rFonts w:ascii="宋体" w:hAnsi="宋体"/>
                <w:szCs w:val="21"/>
              </w:rPr>
            </w:pPr>
          </w:p>
        </w:tc>
        <w:tc>
          <w:tcPr>
            <w:tcW w:w="1724" w:type="dxa"/>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2"/>
            <w:vAlign w:val="center"/>
          </w:tcPr>
          <w:p>
            <w:pPr>
              <w:spacing w:line="300" w:lineRule="exact"/>
              <w:jc w:val="center"/>
              <w:rPr>
                <w:rFonts w:ascii="宋体" w:hAnsi="宋体"/>
                <w:szCs w:val="21"/>
              </w:rPr>
            </w:pPr>
            <w:r>
              <w:rPr>
                <w:rFonts w:hint="eastAsia" w:ascii="宋体" w:hAnsi="宋体" w:eastAsia="宋体"/>
                <w:sz w:val="21"/>
                <w:szCs w:val="21"/>
              </w:rPr>
              <w:t>其他</w:t>
            </w:r>
          </w:p>
        </w:tc>
        <w:tc>
          <w:tcPr>
            <w:tcW w:w="1122" w:type="dxa"/>
            <w:gridSpan w:val="2"/>
            <w:vAlign w:val="center"/>
          </w:tcPr>
          <w:p>
            <w:pPr>
              <w:spacing w:line="300" w:lineRule="exact"/>
              <w:jc w:val="center"/>
              <w:rPr>
                <w:rFonts w:ascii="宋体" w:hAnsi="宋体"/>
                <w:szCs w:val="21"/>
              </w:rPr>
            </w:pPr>
          </w:p>
        </w:tc>
        <w:tc>
          <w:tcPr>
            <w:tcW w:w="1559" w:type="dxa"/>
            <w:gridSpan w:val="4"/>
            <w:vAlign w:val="center"/>
          </w:tcPr>
          <w:p>
            <w:pPr>
              <w:spacing w:line="300" w:lineRule="exact"/>
              <w:jc w:val="center"/>
              <w:rPr>
                <w:rFonts w:ascii="宋体" w:hAnsi="宋体"/>
                <w:szCs w:val="21"/>
              </w:rPr>
            </w:pPr>
            <w:r>
              <w:rPr>
                <w:rFonts w:hint="eastAsia" w:ascii="宋体" w:hAnsi="宋体" w:eastAsia="宋体"/>
                <w:sz w:val="21"/>
                <w:szCs w:val="21"/>
              </w:rPr>
              <w:t>其他</w:t>
            </w:r>
          </w:p>
        </w:tc>
        <w:tc>
          <w:tcPr>
            <w:tcW w:w="1034" w:type="dxa"/>
            <w:vAlign w:val="center"/>
          </w:tcPr>
          <w:p>
            <w:pPr>
              <w:spacing w:line="300" w:lineRule="exact"/>
              <w:jc w:val="center"/>
              <w:rPr>
                <w:rFonts w:ascii="宋体" w:hAnsi="宋体"/>
                <w:szCs w:val="21"/>
              </w:rPr>
            </w:pPr>
          </w:p>
        </w:tc>
        <w:tc>
          <w:tcPr>
            <w:tcW w:w="1383" w:type="dxa"/>
            <w:gridSpan w:val="4"/>
            <w:vAlign w:val="center"/>
          </w:tcPr>
          <w:p>
            <w:pPr>
              <w:spacing w:line="300" w:lineRule="exact"/>
              <w:jc w:val="center"/>
              <w:rPr>
                <w:rFonts w:ascii="宋体" w:hAnsi="宋体"/>
                <w:szCs w:val="21"/>
              </w:rPr>
            </w:pPr>
          </w:p>
        </w:tc>
        <w:tc>
          <w:tcPr>
            <w:tcW w:w="1724" w:type="dxa"/>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8680" w:type="dxa"/>
            <w:gridSpan w:val="14"/>
            <w:vAlign w:val="center"/>
          </w:tcPr>
          <w:p>
            <w:pPr>
              <w:spacing w:line="300" w:lineRule="exact"/>
              <w:rPr>
                <w:rFonts w:ascii="宋体" w:hAnsi="宋体"/>
                <w:szCs w:val="21"/>
              </w:rPr>
            </w:pPr>
            <w:r>
              <w:rPr>
                <w:rFonts w:hint="eastAsia" w:ascii="宋体" w:hAnsi="宋体" w:eastAsia="宋体"/>
                <w:b/>
                <w:bCs/>
                <w:sz w:val="21"/>
                <w:szCs w:val="21"/>
              </w:rPr>
              <w:t>二、</w:t>
            </w:r>
            <w:r>
              <w:rPr>
                <w:rFonts w:hint="eastAsia" w:ascii="宋体" w:hAnsi="宋体" w:eastAsia="宋体"/>
                <w:b/>
                <w:color w:val="000000"/>
                <w:sz w:val="21"/>
                <w:szCs w:val="21"/>
              </w:rPr>
              <w:t>绩效评价指标评分（参考）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一级指标</w:t>
            </w:r>
          </w:p>
        </w:tc>
        <w:tc>
          <w:tcPr>
            <w:tcW w:w="916" w:type="dxa"/>
            <w:gridSpan w:val="2"/>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分值</w:t>
            </w: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二级指标</w:t>
            </w:r>
          </w:p>
        </w:tc>
        <w:tc>
          <w:tcPr>
            <w:tcW w:w="759" w:type="dxa"/>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分值</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三级指标</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分值</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restart"/>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决策</w:t>
            </w:r>
          </w:p>
        </w:tc>
        <w:tc>
          <w:tcPr>
            <w:tcW w:w="916" w:type="dxa"/>
            <w:gridSpan w:val="2"/>
            <w:vMerge w:val="restart"/>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40</w:t>
            </w:r>
          </w:p>
        </w:tc>
        <w:tc>
          <w:tcPr>
            <w:tcW w:w="1272" w:type="dxa"/>
            <w:gridSpan w:val="3"/>
            <w:vMerge w:val="restart"/>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项目立项</w:t>
            </w:r>
          </w:p>
        </w:tc>
        <w:tc>
          <w:tcPr>
            <w:tcW w:w="759" w:type="dxa"/>
            <w:vMerge w:val="restart"/>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val="en-US" w:eastAsia="zh-CN"/>
              </w:rPr>
            </w:pPr>
            <w:r>
              <w:rPr>
                <w:rFonts w:hint="eastAsia" w:ascii="宋体" w:hAnsi="宋体"/>
                <w:color w:val="000000"/>
                <w:szCs w:val="21"/>
                <w:lang w:val="en-US" w:eastAsia="zh-CN"/>
              </w:rPr>
              <w:t>4</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立项依据充分性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default" w:ascii="宋体" w:hAnsi="宋体" w:eastAsia="微软雅黑"/>
                <w:color w:val="000000"/>
                <w:szCs w:val="21"/>
                <w:lang w:val="en-US" w:eastAsia="zh-CN"/>
              </w:rPr>
            </w:pPr>
            <w:r>
              <w:rPr>
                <w:rFonts w:hint="eastAsia" w:ascii="宋体" w:hAnsi="宋体"/>
                <w:color w:val="000000"/>
                <w:szCs w:val="21"/>
                <w:lang w:val="en-US" w:eastAsia="zh-CN"/>
              </w:rPr>
              <w:t>2</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continue"/>
            <w:tcBorders>
              <w:left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宋体"/>
                <w:color w:val="000000"/>
                <w:sz w:val="21"/>
                <w:szCs w:val="21"/>
              </w:rPr>
            </w:pPr>
          </w:p>
        </w:tc>
        <w:tc>
          <w:tcPr>
            <w:tcW w:w="916" w:type="dxa"/>
            <w:gridSpan w:val="2"/>
            <w:vMerge w:val="continue"/>
            <w:tcBorders>
              <w:left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宋体"/>
                <w:color w:val="000000"/>
                <w:sz w:val="21"/>
                <w:szCs w:val="21"/>
              </w:rPr>
            </w:pPr>
          </w:p>
        </w:tc>
        <w:tc>
          <w:tcPr>
            <w:tcW w:w="1272" w:type="dxa"/>
            <w:gridSpan w:val="3"/>
            <w:vMerge w:val="continue"/>
            <w:tcBorders>
              <w:left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宋体"/>
                <w:color w:val="000000"/>
                <w:sz w:val="21"/>
                <w:szCs w:val="21"/>
              </w:rPr>
            </w:pPr>
          </w:p>
        </w:tc>
        <w:tc>
          <w:tcPr>
            <w:tcW w:w="759" w:type="dxa"/>
            <w:vMerge w:val="continue"/>
            <w:tcBorders>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立项程序规范性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default" w:ascii="宋体" w:hAnsi="宋体"/>
                <w:color w:val="000000"/>
                <w:szCs w:val="21"/>
                <w:lang w:val="en-US" w:eastAsia="zh-CN"/>
              </w:rPr>
            </w:pPr>
            <w:r>
              <w:rPr>
                <w:rFonts w:hint="eastAsia" w:ascii="宋体" w:hAnsi="宋体"/>
                <w:color w:val="000000"/>
                <w:szCs w:val="21"/>
                <w:lang w:val="en-US" w:eastAsia="zh-CN"/>
              </w:rPr>
              <w:t>2</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default" w:ascii="宋体" w:hAnsi="宋体"/>
                <w:color w:val="000000"/>
                <w:szCs w:val="21"/>
                <w:lang w:val="en-US" w:eastAsia="zh-CN"/>
              </w:rPr>
            </w:pPr>
            <w:r>
              <w:rPr>
                <w:rFonts w:hint="eastAsia" w:ascii="宋体" w:hAnsi="宋体"/>
                <w:color w:val="000000"/>
                <w:szCs w:val="21"/>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916" w:type="dxa"/>
            <w:gridSpan w:val="2"/>
            <w:vMerge w:val="continue"/>
            <w:tcBorders>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272" w:type="dxa"/>
            <w:gridSpan w:val="3"/>
            <w:vMerge w:val="restart"/>
            <w:tcBorders>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绩效目标</w:t>
            </w:r>
          </w:p>
        </w:tc>
        <w:tc>
          <w:tcPr>
            <w:tcW w:w="759" w:type="dxa"/>
            <w:vMerge w:val="restart"/>
            <w:tcBorders>
              <w:left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4</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绩效目标合理性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default" w:ascii="宋体" w:hAnsi="宋体" w:eastAsia="微软雅黑"/>
                <w:color w:val="000000"/>
                <w:szCs w:val="21"/>
                <w:lang w:val="en-US" w:eastAsia="zh-CN"/>
              </w:rPr>
            </w:pPr>
            <w:r>
              <w:rPr>
                <w:rFonts w:hint="eastAsia" w:ascii="宋体" w:hAnsi="宋体"/>
                <w:color w:val="000000"/>
                <w:szCs w:val="21"/>
                <w:lang w:val="en-US" w:eastAsia="zh-CN"/>
              </w:rPr>
              <w:t>2</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916" w:type="dxa"/>
            <w:gridSpan w:val="2"/>
            <w:vMerge w:val="continue"/>
            <w:tcBorders>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272" w:type="dxa"/>
            <w:gridSpan w:val="3"/>
            <w:vMerge w:val="continue"/>
            <w:tcBorders>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759" w:type="dxa"/>
            <w:vMerge w:val="continue"/>
            <w:tcBorders>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绩效指标明确性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default" w:ascii="宋体" w:hAnsi="宋体" w:eastAsia="微软雅黑"/>
                <w:color w:val="000000"/>
                <w:szCs w:val="21"/>
                <w:lang w:val="en-US" w:eastAsia="zh-CN"/>
              </w:rPr>
            </w:pPr>
            <w:r>
              <w:rPr>
                <w:rFonts w:hint="eastAsia" w:ascii="宋体" w:hAnsi="宋体"/>
                <w:color w:val="000000"/>
                <w:szCs w:val="21"/>
                <w:lang w:val="en-US" w:eastAsia="zh-CN"/>
              </w:rPr>
              <w:t>2</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vMerge w:val="restart"/>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资金投入</w:t>
            </w:r>
          </w:p>
        </w:tc>
        <w:tc>
          <w:tcPr>
            <w:tcW w:w="759" w:type="dxa"/>
            <w:vMerge w:val="restart"/>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7</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预算编制科学性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4</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vMerge w:val="continue"/>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759"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资金分配合理性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3</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restart"/>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过程</w:t>
            </w:r>
          </w:p>
        </w:tc>
        <w:tc>
          <w:tcPr>
            <w:tcW w:w="916" w:type="dxa"/>
            <w:gridSpan w:val="2"/>
            <w:vMerge w:val="continue"/>
            <w:tcBorders>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272" w:type="dxa"/>
            <w:gridSpan w:val="3"/>
            <w:vMerge w:val="restart"/>
            <w:tcBorders>
              <w:top w:val="single" w:color="000000" w:sz="4" w:space="0"/>
              <w:left w:val="single" w:color="000000" w:sz="4" w:space="0"/>
              <w:right w:val="single" w:color="000000" w:sz="4" w:space="0"/>
            </w:tcBorders>
            <w:vAlign w:val="center"/>
          </w:tcPr>
          <w:p>
            <w:pPr>
              <w:spacing w:line="0" w:lineRule="atLeast"/>
              <w:jc w:val="center"/>
              <w:rPr>
                <w:rFonts w:ascii="宋体" w:hAnsi="宋体"/>
                <w:color w:val="000000"/>
                <w:szCs w:val="21"/>
              </w:rPr>
            </w:pPr>
            <w:r>
              <w:rPr>
                <w:rFonts w:hint="eastAsia" w:ascii="宋体" w:hAnsi="宋体" w:eastAsia="宋体"/>
                <w:color w:val="000000"/>
                <w:sz w:val="21"/>
                <w:szCs w:val="21"/>
              </w:rPr>
              <w:t>资金管理</w:t>
            </w:r>
          </w:p>
        </w:tc>
        <w:tc>
          <w:tcPr>
            <w:tcW w:w="759" w:type="dxa"/>
            <w:vMerge w:val="restart"/>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15</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资金到位率</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5</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vMerge w:val="continue"/>
            <w:tcBorders>
              <w:left w:val="single" w:color="000000" w:sz="4" w:space="0"/>
              <w:right w:val="single" w:color="000000" w:sz="4" w:space="0"/>
            </w:tcBorders>
            <w:vAlign w:val="center"/>
          </w:tcPr>
          <w:p>
            <w:pPr>
              <w:spacing w:line="300" w:lineRule="exact"/>
              <w:jc w:val="center"/>
              <w:rPr>
                <w:rFonts w:ascii="宋体" w:hAnsi="宋体"/>
                <w:color w:val="000000"/>
                <w:szCs w:val="21"/>
              </w:rPr>
            </w:pPr>
          </w:p>
        </w:tc>
        <w:tc>
          <w:tcPr>
            <w:tcW w:w="759" w:type="dxa"/>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预算执行率</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5</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vMerge w:val="continue"/>
            <w:tcBorders>
              <w:left w:val="single" w:color="000000" w:sz="4" w:space="0"/>
              <w:bottom w:val="single" w:color="000000" w:sz="4" w:space="0"/>
              <w:right w:val="single" w:color="000000" w:sz="4" w:space="0"/>
            </w:tcBorders>
            <w:vAlign w:val="center"/>
          </w:tcPr>
          <w:p>
            <w:pPr>
              <w:spacing w:line="0" w:lineRule="atLeast"/>
              <w:jc w:val="center"/>
              <w:rPr>
                <w:rFonts w:ascii="宋体" w:hAnsi="宋体"/>
                <w:color w:val="000000"/>
                <w:szCs w:val="21"/>
              </w:rPr>
            </w:pPr>
          </w:p>
        </w:tc>
        <w:tc>
          <w:tcPr>
            <w:tcW w:w="759" w:type="dxa"/>
            <w:vMerge w:val="continue"/>
            <w:tcBorders>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资金使用合规性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5</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vMerge w:val="restart"/>
            <w:tcBorders>
              <w:top w:val="single" w:color="000000" w:sz="4" w:space="0"/>
              <w:left w:val="single" w:color="000000" w:sz="4" w:space="0"/>
              <w:right w:val="single" w:color="000000" w:sz="4" w:space="0"/>
            </w:tcBorders>
            <w:vAlign w:val="center"/>
          </w:tcPr>
          <w:p>
            <w:pPr>
              <w:spacing w:line="0" w:lineRule="atLeast"/>
              <w:jc w:val="center"/>
              <w:rPr>
                <w:rFonts w:ascii="宋体" w:hAnsi="宋体"/>
                <w:color w:val="000000"/>
                <w:szCs w:val="21"/>
              </w:rPr>
            </w:pPr>
            <w:r>
              <w:rPr>
                <w:rFonts w:hint="eastAsia" w:ascii="宋体" w:hAnsi="宋体" w:eastAsia="宋体"/>
                <w:color w:val="000000"/>
                <w:sz w:val="21"/>
                <w:szCs w:val="21"/>
              </w:rPr>
              <w:t>组织实施　</w:t>
            </w:r>
          </w:p>
        </w:tc>
        <w:tc>
          <w:tcPr>
            <w:tcW w:w="759" w:type="dxa"/>
            <w:vMerge w:val="restart"/>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ascii="宋体" w:hAnsi="宋体"/>
                <w:szCs w:val="21"/>
              </w:rPr>
            </w:pPr>
            <w:r>
              <w:rPr>
                <w:rFonts w:hint="eastAsia" w:ascii="宋体" w:hAnsi="宋体"/>
                <w:szCs w:val="21"/>
              </w:rPr>
              <w:t>10</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管理制度健全性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5</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vMerge w:val="continue"/>
            <w:tcBorders>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759" w:type="dxa"/>
            <w:vMerge w:val="continue"/>
            <w:tcBorders>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制度执行有效性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5</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1361" w:type="dxa"/>
            <w:vMerge w:val="restart"/>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产出</w:t>
            </w:r>
          </w:p>
        </w:tc>
        <w:tc>
          <w:tcPr>
            <w:tcW w:w="916" w:type="dxa"/>
            <w:gridSpan w:val="2"/>
            <w:vMerge w:val="restart"/>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60</w:t>
            </w: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产出数量</w:t>
            </w:r>
          </w:p>
        </w:tc>
        <w:tc>
          <w:tcPr>
            <w:tcW w:w="759" w:type="dxa"/>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hint="default" w:ascii="宋体" w:hAnsi="宋体" w:eastAsia="微软雅黑"/>
                <w:color w:val="000000"/>
                <w:szCs w:val="21"/>
                <w:lang w:val="en-US" w:eastAsia="zh-CN"/>
              </w:rPr>
            </w:pPr>
            <w:r>
              <w:rPr>
                <w:rFonts w:hint="eastAsia" w:ascii="宋体" w:hAnsi="宋体"/>
                <w:color w:val="000000"/>
                <w:szCs w:val="21"/>
                <w:lang w:val="en-US" w:eastAsia="zh-CN"/>
              </w:rPr>
              <w:t>8</w:t>
            </w:r>
          </w:p>
        </w:tc>
        <w:tc>
          <w:tcPr>
            <w:tcW w:w="1844" w:type="dxa"/>
            <w:gridSpan w:val="3"/>
            <w:tcBorders>
              <w:top w:val="single" w:color="000000" w:sz="4" w:space="0"/>
              <w:left w:val="single" w:color="000000" w:sz="4" w:space="0"/>
              <w:right w:val="single" w:color="000000" w:sz="4" w:space="0"/>
            </w:tcBorders>
            <w:vAlign w:val="center"/>
          </w:tcPr>
          <w:p>
            <w:pPr>
              <w:spacing w:line="0" w:lineRule="atLeast"/>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采购图书数量</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8</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产出质量</w:t>
            </w:r>
          </w:p>
        </w:tc>
        <w:tc>
          <w:tcPr>
            <w:tcW w:w="759" w:type="dxa"/>
            <w:tcBorders>
              <w:left w:val="single" w:color="000000" w:sz="4" w:space="0"/>
              <w:right w:val="single" w:color="000000" w:sz="4" w:space="0"/>
            </w:tcBorders>
            <w:vAlign w:val="center"/>
          </w:tcPr>
          <w:p>
            <w:pPr>
              <w:spacing w:line="300" w:lineRule="exact"/>
              <w:jc w:val="center"/>
              <w:rPr>
                <w:rFonts w:hint="eastAsia" w:ascii="宋体" w:hAnsi="宋体" w:eastAsia="微软雅黑"/>
                <w:szCs w:val="21"/>
                <w:lang w:val="en-US" w:eastAsia="zh-CN"/>
              </w:rPr>
            </w:pPr>
            <w:r>
              <w:rPr>
                <w:rFonts w:hint="eastAsia" w:ascii="宋体" w:hAnsi="宋体"/>
                <w:szCs w:val="21"/>
                <w:lang w:val="en-US" w:eastAsia="zh-CN"/>
              </w:rPr>
              <w:t>8</w:t>
            </w:r>
          </w:p>
        </w:tc>
        <w:tc>
          <w:tcPr>
            <w:tcW w:w="1844" w:type="dxa"/>
            <w:gridSpan w:val="3"/>
            <w:tcBorders>
              <w:left w:val="single" w:color="000000" w:sz="4" w:space="0"/>
              <w:right w:val="single" w:color="000000" w:sz="4" w:space="0"/>
            </w:tcBorders>
            <w:vAlign w:val="center"/>
          </w:tcPr>
          <w:p>
            <w:pPr>
              <w:spacing w:line="0" w:lineRule="atLeast"/>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验收合格率</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8</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产出时效</w:t>
            </w:r>
          </w:p>
        </w:tc>
        <w:tc>
          <w:tcPr>
            <w:tcW w:w="759" w:type="dxa"/>
            <w:tcBorders>
              <w:left w:val="single" w:color="000000" w:sz="4" w:space="0"/>
              <w:right w:val="single" w:color="000000" w:sz="4" w:space="0"/>
            </w:tcBorders>
            <w:vAlign w:val="center"/>
          </w:tcPr>
          <w:p>
            <w:pPr>
              <w:spacing w:line="300" w:lineRule="exact"/>
              <w:jc w:val="center"/>
              <w:rPr>
                <w:rFonts w:hint="eastAsia" w:ascii="宋体" w:hAnsi="宋体" w:eastAsia="微软雅黑"/>
                <w:szCs w:val="21"/>
                <w:lang w:val="en-US" w:eastAsia="zh-CN"/>
              </w:rPr>
            </w:pPr>
            <w:r>
              <w:rPr>
                <w:rFonts w:hint="eastAsia" w:ascii="宋体" w:hAnsi="宋体"/>
                <w:szCs w:val="21"/>
                <w:lang w:val="en-US" w:eastAsia="zh-CN"/>
              </w:rPr>
              <w:t>6</w:t>
            </w:r>
          </w:p>
        </w:tc>
        <w:tc>
          <w:tcPr>
            <w:tcW w:w="1844" w:type="dxa"/>
            <w:gridSpan w:val="3"/>
            <w:tcBorders>
              <w:left w:val="single" w:color="000000" w:sz="4" w:space="0"/>
              <w:right w:val="single" w:color="000000" w:sz="4" w:space="0"/>
            </w:tcBorders>
            <w:vAlign w:val="center"/>
          </w:tcPr>
          <w:p>
            <w:pPr>
              <w:spacing w:line="0" w:lineRule="atLeast"/>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项目完成及时率</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6</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产出成本</w:t>
            </w:r>
          </w:p>
        </w:tc>
        <w:tc>
          <w:tcPr>
            <w:tcW w:w="759" w:type="dxa"/>
            <w:tcBorders>
              <w:left w:val="single" w:color="000000" w:sz="4" w:space="0"/>
              <w:right w:val="single" w:color="000000" w:sz="4" w:space="0"/>
            </w:tcBorders>
            <w:vAlign w:val="center"/>
          </w:tcPr>
          <w:p>
            <w:pPr>
              <w:spacing w:line="300" w:lineRule="exact"/>
              <w:jc w:val="center"/>
              <w:rPr>
                <w:rFonts w:hint="eastAsia" w:ascii="宋体" w:hAnsi="宋体" w:eastAsia="微软雅黑"/>
                <w:szCs w:val="21"/>
                <w:lang w:val="en-US" w:eastAsia="zh-CN"/>
              </w:rPr>
            </w:pPr>
            <w:r>
              <w:rPr>
                <w:rFonts w:hint="eastAsia" w:ascii="宋体" w:hAnsi="宋体"/>
                <w:szCs w:val="21"/>
                <w:lang w:val="en-US" w:eastAsia="zh-CN"/>
              </w:rPr>
              <w:t>8</w:t>
            </w:r>
          </w:p>
        </w:tc>
        <w:tc>
          <w:tcPr>
            <w:tcW w:w="1844" w:type="dxa"/>
            <w:gridSpan w:val="3"/>
            <w:tcBorders>
              <w:left w:val="single" w:color="000000" w:sz="4" w:space="0"/>
              <w:right w:val="single" w:color="000000" w:sz="4" w:space="0"/>
            </w:tcBorders>
            <w:vAlign w:val="center"/>
          </w:tcPr>
          <w:p>
            <w:pPr>
              <w:spacing w:line="0" w:lineRule="atLeast"/>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成本节约率</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8</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restart"/>
            <w:tcBorders>
              <w:left w:val="single" w:color="000000" w:sz="4" w:space="0"/>
              <w:right w:val="single" w:color="000000" w:sz="4" w:space="0"/>
            </w:tcBorders>
            <w:vAlign w:val="center"/>
          </w:tcPr>
          <w:p>
            <w:pPr>
              <w:spacing w:line="300" w:lineRule="exact"/>
              <w:jc w:val="center"/>
              <w:rPr>
                <w:rFonts w:hint="eastAsia" w:ascii="宋体" w:hAnsi="宋体" w:eastAsia="微软雅黑"/>
                <w:szCs w:val="21"/>
                <w:lang w:eastAsia="zh-CN"/>
              </w:rPr>
            </w:pPr>
            <w:r>
              <w:rPr>
                <w:rFonts w:hint="eastAsia" w:ascii="宋体" w:hAnsi="宋体" w:eastAsia="宋体"/>
                <w:color w:val="000000"/>
                <w:sz w:val="21"/>
                <w:szCs w:val="21"/>
                <w:lang w:eastAsia="zh-CN"/>
              </w:rPr>
              <w:t>效益</w:t>
            </w:r>
          </w:p>
        </w:tc>
        <w:tc>
          <w:tcPr>
            <w:tcW w:w="916"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szCs w:val="21"/>
              </w:rPr>
            </w:pPr>
            <w:r>
              <w:rPr>
                <w:rFonts w:hint="eastAsia" w:ascii="宋体" w:hAnsi="宋体" w:eastAsia="宋体"/>
                <w:color w:val="000000"/>
                <w:sz w:val="21"/>
                <w:szCs w:val="21"/>
              </w:rPr>
              <w:t>社会效益</w:t>
            </w:r>
          </w:p>
        </w:tc>
        <w:tc>
          <w:tcPr>
            <w:tcW w:w="759" w:type="dxa"/>
            <w:tcBorders>
              <w:left w:val="single" w:color="000000" w:sz="4" w:space="0"/>
              <w:right w:val="single" w:color="000000" w:sz="4" w:space="0"/>
            </w:tcBorders>
            <w:vAlign w:val="center"/>
          </w:tcPr>
          <w:p>
            <w:pPr>
              <w:spacing w:line="300" w:lineRule="exact"/>
              <w:jc w:val="center"/>
              <w:rPr>
                <w:rFonts w:hint="default" w:ascii="宋体" w:hAnsi="宋体" w:eastAsia="微软雅黑"/>
                <w:szCs w:val="21"/>
                <w:lang w:val="en-US" w:eastAsia="zh-CN"/>
              </w:rPr>
            </w:pPr>
            <w:r>
              <w:rPr>
                <w:rFonts w:hint="eastAsia" w:ascii="宋体" w:hAnsi="宋体"/>
                <w:szCs w:val="21"/>
                <w:lang w:val="en-US" w:eastAsia="zh-CN"/>
              </w:rPr>
              <w:t>10</w:t>
            </w:r>
          </w:p>
        </w:tc>
        <w:tc>
          <w:tcPr>
            <w:tcW w:w="1844" w:type="dxa"/>
            <w:gridSpan w:val="3"/>
            <w:tcBorders>
              <w:left w:val="single" w:color="000000" w:sz="4" w:space="0"/>
              <w:right w:val="single" w:color="000000" w:sz="4" w:space="0"/>
            </w:tcBorders>
            <w:vAlign w:val="center"/>
          </w:tcPr>
          <w:p>
            <w:pPr>
              <w:spacing w:line="0" w:lineRule="atLeast"/>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提升群众文化生活品质</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default" w:ascii="宋体" w:hAnsi="宋体" w:eastAsia="微软雅黑"/>
                <w:color w:val="000000"/>
                <w:szCs w:val="21"/>
                <w:lang w:val="en-US" w:eastAsia="zh-CN"/>
              </w:rPr>
            </w:pPr>
            <w:r>
              <w:rPr>
                <w:rFonts w:hint="eastAsia" w:ascii="宋体" w:hAnsi="宋体"/>
                <w:color w:val="000000"/>
                <w:szCs w:val="21"/>
                <w:lang w:val="en-US" w:eastAsia="zh-CN"/>
              </w:rPr>
              <w:t>10</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szCs w:val="21"/>
              </w:rPr>
            </w:pPr>
            <w:r>
              <w:rPr>
                <w:rFonts w:hint="eastAsia" w:ascii="宋体" w:hAnsi="宋体" w:eastAsia="宋体"/>
                <w:color w:val="000000"/>
                <w:sz w:val="21"/>
                <w:szCs w:val="21"/>
              </w:rPr>
              <w:t>可持续影响</w:t>
            </w:r>
          </w:p>
        </w:tc>
        <w:tc>
          <w:tcPr>
            <w:tcW w:w="759" w:type="dxa"/>
            <w:tcBorders>
              <w:left w:val="single" w:color="000000" w:sz="4" w:space="0"/>
              <w:bottom w:val="single" w:color="000000" w:sz="4" w:space="0"/>
              <w:right w:val="single" w:color="000000" w:sz="4" w:space="0"/>
            </w:tcBorders>
            <w:vAlign w:val="center"/>
          </w:tcPr>
          <w:p>
            <w:pPr>
              <w:spacing w:line="0" w:lineRule="atLeast"/>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2"/>
                <w:szCs w:val="22"/>
                <w:lang w:val="en-US" w:eastAsia="zh-CN"/>
              </w:rPr>
              <w:t>10</w:t>
            </w:r>
          </w:p>
        </w:tc>
        <w:tc>
          <w:tcPr>
            <w:tcW w:w="1844" w:type="dxa"/>
            <w:gridSpan w:val="3"/>
            <w:tcBorders>
              <w:left w:val="single" w:color="000000" w:sz="4" w:space="0"/>
              <w:bottom w:val="single" w:color="000000" w:sz="4" w:space="0"/>
              <w:right w:val="single" w:color="000000" w:sz="4" w:space="0"/>
            </w:tcBorders>
            <w:vAlign w:val="center"/>
          </w:tcPr>
          <w:p>
            <w:pPr>
              <w:spacing w:line="0" w:lineRule="atLeast"/>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公共文化服务水平持续提升</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default" w:ascii="宋体" w:hAnsi="宋体" w:eastAsia="微软雅黑"/>
                <w:color w:val="000000"/>
                <w:szCs w:val="21"/>
                <w:lang w:val="en-US" w:eastAsia="zh-CN"/>
              </w:rPr>
            </w:pPr>
            <w:r>
              <w:rPr>
                <w:rFonts w:hint="eastAsia" w:ascii="宋体" w:hAnsi="宋体"/>
                <w:color w:val="000000"/>
                <w:szCs w:val="21"/>
                <w:lang w:val="en-US" w:eastAsia="zh-CN"/>
              </w:rPr>
              <w:t>10</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1361" w:type="dxa"/>
            <w:vMerge w:val="continue"/>
            <w:tcBorders>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280" w:lineRule="exact"/>
              <w:jc w:val="center"/>
              <w:textAlignment w:val="center"/>
              <w:rPr>
                <w:rFonts w:ascii="宋体" w:hAnsi="宋体"/>
                <w:szCs w:val="21"/>
              </w:rPr>
            </w:pPr>
            <w:r>
              <w:rPr>
                <w:rFonts w:hint="eastAsia" w:ascii="宋体" w:hAnsi="宋体" w:eastAsia="宋体"/>
                <w:color w:val="000000"/>
                <w:sz w:val="21"/>
                <w:szCs w:val="21"/>
              </w:rPr>
              <w:t>满意度</w:t>
            </w:r>
          </w:p>
        </w:tc>
        <w:tc>
          <w:tcPr>
            <w:tcW w:w="759"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default" w:ascii="宋体" w:hAnsi="宋体" w:eastAsia="微软雅黑"/>
                <w:szCs w:val="21"/>
                <w:lang w:val="en-US" w:eastAsia="zh-CN"/>
              </w:rPr>
            </w:pPr>
            <w:r>
              <w:rPr>
                <w:rFonts w:hint="eastAsia" w:ascii="宋体" w:hAnsi="宋体"/>
                <w:szCs w:val="21"/>
                <w:lang w:val="en-US" w:eastAsia="zh-CN"/>
              </w:rPr>
              <w:t>10</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280" w:lineRule="exact"/>
              <w:jc w:val="center"/>
              <w:textAlignment w:val="center"/>
              <w:rPr>
                <w:rFonts w:ascii="宋体" w:hAnsi="宋体"/>
                <w:color w:val="000000"/>
                <w:szCs w:val="21"/>
              </w:rPr>
            </w:pPr>
            <w:r>
              <w:rPr>
                <w:rFonts w:hint="eastAsia" w:ascii="宋体" w:hAnsi="宋体" w:eastAsia="宋体"/>
                <w:color w:val="000000"/>
                <w:sz w:val="21"/>
                <w:szCs w:val="21"/>
              </w:rPr>
              <w:t>服务对象满意度</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10</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总分</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100</w:t>
            </w: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p>
        </w:tc>
        <w:tc>
          <w:tcPr>
            <w:tcW w:w="759" w:type="dxa"/>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100</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100</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bCs/>
                <w:color w:val="000000"/>
                <w:szCs w:val="21"/>
                <w:lang w:val="en-US" w:eastAsia="zh-CN"/>
              </w:rPr>
            </w:pPr>
            <w:r>
              <w:rPr>
                <w:rFonts w:hint="eastAsia" w:ascii="宋体" w:hAnsi="宋体"/>
                <w:bCs/>
                <w:color w:val="000000"/>
                <w:szCs w:val="21"/>
              </w:rPr>
              <w:t>9</w:t>
            </w:r>
            <w:r>
              <w:rPr>
                <w:rFonts w:hint="eastAsia" w:ascii="宋体" w:hAnsi="宋体"/>
                <w:bCs/>
                <w:color w:val="000000"/>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858" w:type="dxa"/>
            <w:gridSpan w:val="2"/>
            <w:vMerge w:val="restart"/>
            <w:vAlign w:val="center"/>
          </w:tcPr>
          <w:p>
            <w:pPr>
              <w:spacing w:line="300" w:lineRule="exact"/>
              <w:jc w:val="center"/>
              <w:rPr>
                <w:rFonts w:ascii="宋体" w:hAnsi="宋体"/>
                <w:szCs w:val="21"/>
              </w:rPr>
            </w:pPr>
            <w:r>
              <w:rPr>
                <w:rFonts w:hint="eastAsia" w:ascii="宋体" w:hAnsi="宋体" w:eastAsia="宋体"/>
                <w:sz w:val="21"/>
                <w:szCs w:val="21"/>
              </w:rPr>
              <w:t>评价等次</w:t>
            </w:r>
          </w:p>
        </w:tc>
        <w:tc>
          <w:tcPr>
            <w:tcW w:w="6822" w:type="dxa"/>
            <w:gridSpan w:val="12"/>
            <w:vAlign w:val="center"/>
          </w:tcPr>
          <w:p>
            <w:pPr>
              <w:spacing w:line="300" w:lineRule="exact"/>
              <w:jc w:val="center"/>
              <w:rPr>
                <w:rFonts w:ascii="宋体" w:hAnsi="宋体"/>
                <w:szCs w:val="21"/>
              </w:rPr>
            </w:pPr>
            <w:r>
              <w:rPr>
                <w:rFonts w:hint="eastAsia" w:ascii="宋体" w:hAnsi="宋体" w:eastAsia="宋体" w:cs="宋体"/>
                <w:color w:val="000000"/>
                <w:sz w:val="21"/>
                <w:szCs w:val="21"/>
              </w:rPr>
              <w:t>优√        良□       中 □       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58" w:type="dxa"/>
            <w:gridSpan w:val="2"/>
            <w:vMerge w:val="continue"/>
            <w:vAlign w:val="center"/>
          </w:tcPr>
          <w:p>
            <w:pPr>
              <w:spacing w:line="300" w:lineRule="exact"/>
              <w:jc w:val="center"/>
              <w:rPr>
                <w:rFonts w:ascii="宋体" w:hAnsi="宋体"/>
                <w:szCs w:val="21"/>
              </w:rPr>
            </w:pPr>
          </w:p>
        </w:tc>
        <w:tc>
          <w:tcPr>
            <w:tcW w:w="6822" w:type="dxa"/>
            <w:gridSpan w:val="12"/>
          </w:tcPr>
          <w:p>
            <w:pPr>
              <w:spacing w:line="260" w:lineRule="exact"/>
              <w:rPr>
                <w:rFonts w:ascii="宋体" w:hAnsi="宋体" w:cs="宋体"/>
                <w:color w:val="000000"/>
                <w:szCs w:val="21"/>
              </w:rPr>
            </w:pPr>
            <w:r>
              <w:rPr>
                <w:rFonts w:hint="eastAsia" w:ascii="宋体" w:hAnsi="宋体" w:eastAsia="宋体" w:cs="宋体"/>
                <w:color w:val="000000"/>
                <w:sz w:val="21"/>
                <w:szCs w:val="21"/>
              </w:rPr>
              <w:t>100-90（含）分为优、90-80（含）分为良、80-60（含）分为中、60分以下为差</w:t>
            </w:r>
          </w:p>
        </w:tc>
      </w:tr>
    </w:tbl>
    <w:p>
      <w:pPr>
        <w:spacing w:line="200" w:lineRule="exact"/>
        <w:jc w:val="center"/>
        <w:rPr>
          <w:rFonts w:ascii="方正小标宋简体" w:hAnsi="方正小标宋简体" w:eastAsia="方正小标宋简体" w:cs="方正小标宋简体"/>
          <w:bCs/>
          <w:sz w:val="44"/>
          <w:szCs w:val="44"/>
        </w:rPr>
      </w:pPr>
    </w:p>
    <w:p>
      <w:r>
        <w:rPr>
          <w:rFonts w:hint="eastAsia" w:ascii="仿宋" w:hAnsi="仿宋" w:eastAsia="仿宋" w:cs="仿宋"/>
          <w:sz w:val="21"/>
          <w:szCs w:val="24"/>
        </w:rPr>
        <w:t>注：指标可参考财政部《项目支出绩效评价管理办法》中附件2：《项目支出绩效评价指标体系框架》设置。</w:t>
      </w:r>
    </w:p>
    <w:sectPr>
      <w:pgSz w:w="11906" w:h="16838"/>
      <w:pgMar w:top="1440" w:right="1800" w:bottom="1440" w:left="1800" w:header="851" w:footer="992" w:gutter="0"/>
      <w:cols w:space="708"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MjdiNGQ1ODQ0ODI3NDIxYjFjZjEzYTRkNGZiZGYxMWIifQ=="/>
  </w:docVars>
  <w:rsids>
    <w:rsidRoot w:val="00D31D50"/>
    <w:rsid w:val="00001DC0"/>
    <w:rsid w:val="00046500"/>
    <w:rsid w:val="002C447D"/>
    <w:rsid w:val="003007C4"/>
    <w:rsid w:val="00323B43"/>
    <w:rsid w:val="003D37D8"/>
    <w:rsid w:val="003F00A6"/>
    <w:rsid w:val="00426133"/>
    <w:rsid w:val="004358AB"/>
    <w:rsid w:val="00474700"/>
    <w:rsid w:val="004814D4"/>
    <w:rsid w:val="00502575"/>
    <w:rsid w:val="0054351A"/>
    <w:rsid w:val="005A610F"/>
    <w:rsid w:val="00647AEB"/>
    <w:rsid w:val="006F4C6D"/>
    <w:rsid w:val="00850D73"/>
    <w:rsid w:val="008B41BE"/>
    <w:rsid w:val="008B4686"/>
    <w:rsid w:val="008B7726"/>
    <w:rsid w:val="009327DB"/>
    <w:rsid w:val="009A1DC9"/>
    <w:rsid w:val="009A5A68"/>
    <w:rsid w:val="009C67B2"/>
    <w:rsid w:val="00C11829"/>
    <w:rsid w:val="00C12BF2"/>
    <w:rsid w:val="00C169D0"/>
    <w:rsid w:val="00CD3A91"/>
    <w:rsid w:val="00D31D50"/>
    <w:rsid w:val="00DC1338"/>
    <w:rsid w:val="00DE0433"/>
    <w:rsid w:val="00E84025"/>
    <w:rsid w:val="00F13096"/>
    <w:rsid w:val="00FC5675"/>
    <w:rsid w:val="13FF7A53"/>
    <w:rsid w:val="182F467F"/>
    <w:rsid w:val="232C638A"/>
    <w:rsid w:val="3B3C336E"/>
    <w:rsid w:val="3EB20A0B"/>
    <w:rsid w:val="48396CD0"/>
    <w:rsid w:val="48AB197C"/>
    <w:rsid w:val="48E56510"/>
    <w:rsid w:val="4C765DFD"/>
    <w:rsid w:val="56A63783"/>
    <w:rsid w:val="5726041F"/>
    <w:rsid w:val="5A963A5E"/>
    <w:rsid w:val="5C970DBF"/>
    <w:rsid w:val="5EB6652D"/>
    <w:rsid w:val="6D490F3A"/>
    <w:rsid w:val="71DB43E3"/>
    <w:rsid w:val="753541F8"/>
    <w:rsid w:val="791365FE"/>
    <w:rsid w:val="7A725AB4"/>
    <w:rsid w:val="7C8A307B"/>
    <w:rsid w:val="7EA065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Normal (Web)"/>
    <w:basedOn w:val="1"/>
    <w:autoRedefine/>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5">
    <w:name w:val="Strong"/>
    <w:basedOn w:val="4"/>
    <w:autoRedefine/>
    <w:qFormat/>
    <w:uiPriority w:val="22"/>
    <w:rPr>
      <w:b/>
      <w:bCs/>
    </w:rPr>
  </w:style>
  <w:style w:type="paragraph" w:customStyle="1" w:styleId="6">
    <w:name w:val="Body Text Indent"/>
    <w:basedOn w:val="1"/>
    <w:next w:val="7"/>
    <w:qFormat/>
    <w:uiPriority w:val="0"/>
    <w:pPr>
      <w:ind w:left="420" w:leftChars="200"/>
    </w:pPr>
    <w:rPr>
      <w:rFonts w:ascii="Times New Roman" w:hAnsi="Times New Roman"/>
    </w:rPr>
  </w:style>
  <w:style w:type="paragraph" w:customStyle="1" w:styleId="7">
    <w:name w:val="Body Text First Indent 2"/>
    <w:basedOn w:val="6"/>
    <w:next w:val="1"/>
    <w:qFormat/>
    <w:uiPriority w:val="0"/>
    <w:pPr>
      <w:ind w:left="0" w:leftChars="0" w:firstLine="640" w:firstLineChars="200"/>
    </w:pPr>
    <w:rPr>
      <w:rFonts w:ascii="Times New Roman" w:hAnsi="Times New Roman" w:eastAsia="仿宋_GB2312"/>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1131</Words>
  <Characters>6452</Characters>
  <Lines>53</Lines>
  <Paragraphs>15</Paragraphs>
  <TotalTime>16</TotalTime>
  <ScaleCrop>false</ScaleCrop>
  <LinksUpToDate>false</LinksUpToDate>
  <CharactersWithSpaces>7568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叶蓁蓁</cp:lastModifiedBy>
  <cp:lastPrinted>2024-05-06T08:40:00Z</cp:lastPrinted>
  <dcterms:modified xsi:type="dcterms:W3CDTF">2024-05-08T02:28:54Z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123CEA197EFF4F5B9D8A3D25A0E15DB2_12</vt:lpwstr>
  </property>
</Properties>
</file>