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bookmarkStart w:id="2" w:name="_GoBack"/>
      <w:r>
        <w:rPr>
          <w:rFonts w:hint="eastAsia" w:ascii="方正小标宋简体" w:hAnsi="方正小标宋简体" w:eastAsia="方正小标宋简体" w:cs="方正小标宋简体"/>
          <w:b w:val="0"/>
          <w:bCs w:val="0"/>
          <w:sz w:val="44"/>
          <w:szCs w:val="44"/>
          <w:lang w:val="en-US" w:eastAsia="zh-CN"/>
        </w:rPr>
        <w:t>新溪乡村集体资产资源发包管理规范</w:t>
      </w:r>
    </w:p>
    <w:bookmarkEnd w:id="2"/>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方正小标宋简体" w:hAnsi="方正小标宋简体" w:eastAsia="方正小标宋简体" w:cs="方正小标宋简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一、工作职责</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乡</w:t>
      </w:r>
      <w:r>
        <w:rPr>
          <w:rFonts w:hint="eastAsia" w:ascii="仿宋_GB2312" w:eastAsia="仿宋_GB2312"/>
          <w:sz w:val="32"/>
          <w:szCs w:val="32"/>
          <w:lang w:eastAsia="zh-CN"/>
        </w:rPr>
        <w:t>政府</w:t>
      </w:r>
      <w:r>
        <w:rPr>
          <w:rFonts w:hint="eastAsia" w:ascii="仿宋_GB2312" w:eastAsia="仿宋_GB2312"/>
          <w:sz w:val="32"/>
          <w:szCs w:val="32"/>
        </w:rPr>
        <w:t>负责</w:t>
      </w:r>
      <w:r>
        <w:rPr>
          <w:rFonts w:hint="eastAsia" w:ascii="仿宋_GB2312" w:eastAsia="仿宋_GB2312"/>
          <w:sz w:val="32"/>
          <w:szCs w:val="32"/>
          <w:lang w:eastAsia="zh-CN"/>
        </w:rPr>
        <w:t>辖区</w:t>
      </w:r>
      <w:r>
        <w:rPr>
          <w:rFonts w:hint="eastAsia" w:ascii="仿宋_GB2312" w:eastAsia="仿宋_GB2312"/>
          <w:sz w:val="32"/>
          <w:szCs w:val="32"/>
        </w:rPr>
        <w:t>农村产权流转交易信息的初审，</w:t>
      </w:r>
      <w:r>
        <w:rPr>
          <w:rFonts w:hint="eastAsia" w:ascii="仿宋_GB2312" w:eastAsia="仿宋_GB2312"/>
          <w:sz w:val="32"/>
          <w:szCs w:val="32"/>
          <w:lang w:eastAsia="zh-CN"/>
        </w:rPr>
        <w:t>并</w:t>
      </w:r>
      <w:r>
        <w:rPr>
          <w:rFonts w:hint="eastAsia" w:ascii="仿宋_GB2312" w:eastAsia="仿宋_GB2312"/>
          <w:sz w:val="32"/>
          <w:szCs w:val="32"/>
        </w:rPr>
        <w:t>对交易价格和村级相关工作进行指导。</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村</w:t>
      </w:r>
      <w:r>
        <w:rPr>
          <w:rFonts w:hint="eastAsia" w:ascii="仿宋_GB2312" w:eastAsia="仿宋_GB2312"/>
          <w:sz w:val="32"/>
          <w:szCs w:val="32"/>
          <w:lang w:eastAsia="zh-CN"/>
        </w:rPr>
        <w:t>委会</w:t>
      </w:r>
      <w:r>
        <w:rPr>
          <w:rFonts w:hint="eastAsia" w:ascii="仿宋_GB2312" w:eastAsia="仿宋_GB2312"/>
          <w:sz w:val="32"/>
          <w:szCs w:val="32"/>
        </w:rPr>
        <w:t>负责交易信息的收集、整理、上报等相关工作。</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交易条件</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流转交易的农村产权要素应具备以下条件：</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(一）权属清晰；</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(二）参与主体具有流转交易农村产权要素的真实意愿；</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(三）交易双方必须是具有完全民事权利能力和民事行为能力的自然人、法人和其他组织；</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(四）流转交易项目符合国家和我区有关法律法规、环境保护、农业产业发展规划、土地利用总体规划和城乡一体化建设规划等政策规定。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三、交易要求</w:t>
      </w:r>
    </w:p>
    <w:p>
      <w:pPr>
        <w:spacing w:line="560" w:lineRule="exact"/>
        <w:ind w:firstLine="640" w:firstLineChars="200"/>
        <w:rPr>
          <w:rFonts w:ascii="仿宋_GB2312" w:eastAsia="仿宋_GB2312"/>
          <w:snapToGrid w:val="0"/>
          <w:color w:val="000000" w:themeColor="text1"/>
          <w:sz w:val="32"/>
          <w:szCs w:val="32"/>
          <w14:textFill>
            <w14:solidFill>
              <w14:schemeClr w14:val="tx1"/>
            </w14:solidFill>
          </w14:textFill>
        </w:rPr>
      </w:pPr>
      <w:r>
        <w:rPr>
          <w:rFonts w:hint="eastAsia" w:ascii="仿宋_GB2312" w:eastAsia="仿宋_GB2312"/>
          <w:snapToGrid w:val="0"/>
          <w:color w:val="000000" w:themeColor="text1"/>
          <w:sz w:val="32"/>
          <w:szCs w:val="32"/>
          <w:lang w:val="en-US" w:eastAsia="zh-CN"/>
          <w14:textFill>
            <w14:solidFill>
              <w14:schemeClr w14:val="tx1"/>
            </w14:solidFill>
          </w14:textFill>
        </w:rPr>
        <w:t>所有</w:t>
      </w:r>
      <w:r>
        <w:rPr>
          <w:rFonts w:hint="eastAsia" w:ascii="仿宋_GB2312" w:eastAsia="仿宋_GB2312"/>
          <w:snapToGrid w:val="0"/>
          <w:color w:val="000000" w:themeColor="text1"/>
          <w:sz w:val="32"/>
          <w:szCs w:val="32"/>
          <w14:textFill>
            <w14:solidFill>
              <w14:schemeClr w14:val="tx1"/>
            </w14:solidFill>
          </w14:textFill>
        </w:rPr>
        <w:t>农村集体资产</w:t>
      </w:r>
      <w:r>
        <w:rPr>
          <w:rFonts w:hint="eastAsia" w:ascii="仿宋_GB2312" w:eastAsia="仿宋_GB2312"/>
          <w:snapToGrid w:val="0"/>
          <w:color w:val="000000" w:themeColor="text1"/>
          <w:sz w:val="32"/>
          <w:szCs w:val="32"/>
          <w:lang w:eastAsia="zh-CN"/>
          <w14:textFill>
            <w14:solidFill>
              <w14:schemeClr w14:val="tx1"/>
            </w14:solidFill>
          </w14:textFill>
        </w:rPr>
        <w:t>、资源</w:t>
      </w:r>
      <w:r>
        <w:rPr>
          <w:rFonts w:hint="eastAsia" w:ascii="仿宋_GB2312" w:eastAsia="仿宋_GB2312"/>
          <w:snapToGrid w:val="0"/>
          <w:color w:val="000000" w:themeColor="text1"/>
          <w:sz w:val="32"/>
          <w:szCs w:val="32"/>
          <w14:textFill>
            <w14:solidFill>
              <w14:schemeClr w14:val="tx1"/>
            </w14:solidFill>
          </w14:textFill>
        </w:rPr>
        <w:t>流转</w:t>
      </w:r>
      <w:r>
        <w:rPr>
          <w:rFonts w:hint="eastAsia" w:ascii="仿宋_GB2312" w:eastAsia="仿宋_GB2312"/>
          <w:snapToGrid w:val="0"/>
          <w:color w:val="000000" w:themeColor="text1"/>
          <w:sz w:val="32"/>
          <w:szCs w:val="32"/>
          <w:lang w:eastAsia="zh-CN"/>
          <w14:textFill>
            <w14:solidFill>
              <w14:schemeClr w14:val="tx1"/>
            </w14:solidFill>
          </w14:textFill>
        </w:rPr>
        <w:t>必须</w:t>
      </w:r>
      <w:r>
        <w:rPr>
          <w:rFonts w:hint="eastAsia" w:ascii="仿宋_GB2312" w:eastAsia="仿宋_GB2312"/>
          <w:snapToGrid w:val="0"/>
          <w:color w:val="000000" w:themeColor="text1"/>
          <w:sz w:val="32"/>
          <w:szCs w:val="32"/>
          <w14:textFill>
            <w14:solidFill>
              <w14:schemeClr w14:val="tx1"/>
            </w14:solidFill>
          </w14:textFill>
        </w:rPr>
        <w:t>全部进</w:t>
      </w:r>
      <w:r>
        <w:rPr>
          <w:rFonts w:hint="eastAsia" w:ascii="仿宋_GB2312" w:eastAsia="仿宋_GB2312"/>
          <w:snapToGrid w:val="0"/>
          <w:color w:val="000000" w:themeColor="text1"/>
          <w:sz w:val="32"/>
          <w:szCs w:val="32"/>
          <w:lang w:eastAsia="zh-CN"/>
          <w14:textFill>
            <w14:solidFill>
              <w14:schemeClr w14:val="tx1"/>
            </w14:solidFill>
          </w14:textFill>
        </w:rPr>
        <w:t>渝水区农村产权交易中心进行</w:t>
      </w:r>
      <w:r>
        <w:rPr>
          <w:rFonts w:hint="eastAsia" w:ascii="仿宋_GB2312" w:eastAsia="仿宋_GB2312"/>
          <w:snapToGrid w:val="0"/>
          <w:color w:val="000000" w:themeColor="text1"/>
          <w:sz w:val="32"/>
          <w:szCs w:val="32"/>
          <w14:textFill>
            <w14:solidFill>
              <w14:schemeClr w14:val="tx1"/>
            </w14:solidFill>
          </w14:textFill>
        </w:rPr>
        <w:t>交易。</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sz w:val="32"/>
          <w:szCs w:val="32"/>
          <w:lang w:val="en-US" w:eastAsia="zh-CN"/>
        </w:rPr>
      </w:pPr>
      <w:r>
        <w:rPr>
          <w:rFonts w:hint="eastAsia" w:ascii="黑体" w:hAnsi="黑体" w:eastAsia="黑体"/>
          <w:sz w:val="32"/>
          <w:szCs w:val="32"/>
          <w:lang w:val="en-US" w:eastAsia="zh-CN"/>
        </w:rPr>
        <w:t>四、合同主体</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ascii="仿宋_GB2312" w:hAnsi="宋体" w:eastAsia="仿宋_GB2312" w:cs="仿宋_GB2312"/>
          <w:color w:val="000000"/>
          <w:kern w:val="0"/>
          <w:sz w:val="32"/>
          <w:szCs w:val="32"/>
          <w:lang w:val="en-US" w:eastAsia="zh-CN" w:bidi="ar"/>
        </w:rPr>
        <w:t>各村小组</w:t>
      </w:r>
      <w:r>
        <w:rPr>
          <w:rFonts w:hint="eastAsia" w:ascii="仿宋_GB2312" w:hAnsi="宋体" w:eastAsia="仿宋_GB2312" w:cs="仿宋_GB2312"/>
          <w:color w:val="000000"/>
          <w:kern w:val="0"/>
          <w:sz w:val="32"/>
          <w:szCs w:val="32"/>
          <w:lang w:val="en-US" w:eastAsia="zh-CN" w:bidi="ar"/>
        </w:rPr>
        <w:t>的</w:t>
      </w:r>
      <w:r>
        <w:rPr>
          <w:rFonts w:ascii="仿宋_GB2312" w:hAnsi="宋体" w:eastAsia="仿宋_GB2312" w:cs="仿宋_GB2312"/>
          <w:color w:val="000000"/>
          <w:kern w:val="0"/>
          <w:sz w:val="32"/>
          <w:szCs w:val="32"/>
          <w:lang w:val="en-US" w:eastAsia="zh-CN" w:bidi="ar"/>
        </w:rPr>
        <w:t>集体资产资源所有权和收益权不变</w:t>
      </w:r>
      <w:r>
        <w:rPr>
          <w:rFonts w:hint="eastAsia" w:ascii="仿宋_GB2312" w:hAnsi="宋体" w:eastAsia="仿宋_GB2312" w:cs="仿宋_GB2312"/>
          <w:color w:val="000000"/>
          <w:kern w:val="0"/>
          <w:sz w:val="32"/>
          <w:szCs w:val="32"/>
          <w:lang w:val="en-US" w:eastAsia="zh-CN" w:bidi="ar"/>
        </w:rPr>
        <w:t>，一律委托给所属村委会发包（租），由村委会作为合同主体进行发包（租）。各村委会要积极做好协商规范工作。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sz w:val="32"/>
          <w:szCs w:val="32"/>
          <w:lang w:val="en-US" w:eastAsia="zh-CN"/>
        </w:rPr>
      </w:pPr>
      <w:r>
        <w:rPr>
          <w:rFonts w:hint="eastAsia" w:ascii="黑体" w:hAnsi="黑体" w:eastAsia="黑体"/>
          <w:sz w:val="32"/>
          <w:szCs w:val="32"/>
          <w:lang w:val="en-US" w:eastAsia="zh-CN"/>
        </w:rPr>
        <w:t>五、承包费（租金）</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承包费（租金）要按照“尊重现实”的基本原则协商确定。对于承包费（租金）明显偏低、显失公平、侵害集体利益的，要严格按照《新溪乡各类资产资源承包费（租金）指导价目表》（附件）执行，协议价格原则上不得低于指导价,价格低于指导价50%及以上的待发包资产资源必须报请乡党委政府同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合同中应明确承包费（租金）定期浮动机制，每 3—5年为一轮租期，在合同中明确每轮租期的具体租金金额。每轮租期需根据市场行情和双方协商情况对承包费（租金）进行一次调整，原则上每次上浮比例不低于上一轮租金的10%。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六、合约期限</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ascii="仿宋_GB2312" w:hAnsi="宋体" w:eastAsia="仿宋_GB2312" w:cs="仿宋_GB2312"/>
          <w:color w:val="000000"/>
          <w:kern w:val="0"/>
          <w:sz w:val="32"/>
          <w:szCs w:val="32"/>
          <w:lang w:val="en-US" w:eastAsia="zh-CN" w:bidi="ar"/>
        </w:rPr>
        <w:t>凡是涉及房屋等资产租赁类合同要严格按照《中华人民</w:t>
      </w:r>
      <w:r>
        <w:rPr>
          <w:rFonts w:hint="eastAsia" w:ascii="仿宋_GB2312" w:hAnsi="宋体" w:eastAsia="仿宋_GB2312" w:cs="仿宋_GB2312"/>
          <w:color w:val="000000"/>
          <w:kern w:val="0"/>
          <w:sz w:val="32"/>
          <w:szCs w:val="32"/>
          <w:lang w:val="en-US" w:eastAsia="zh-CN" w:bidi="ar"/>
        </w:rPr>
        <w:t xml:space="preserve">共和国合同法》第二百一十四条规定：租赁期限不得超过二十年，超过二十年的，超过部分无效。对于林地、山地等确需超过二十年的发包行为，可以约定二十年承包期到期后，在同等条件下，原承包方可以优先续包并重新签订合同。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七、支付方式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支付方式原则上3—5年一轮租期支付一次，不建议一次性支付租金。确需一次性付清的，合同中要体现每轮价格增长变化。</w:t>
      </w:r>
    </w:p>
    <w:p>
      <w:pPr>
        <w:numPr>
          <w:ilvl w:val="0"/>
          <w:numId w:val="0"/>
        </w:numPr>
        <w:spacing w:line="600" w:lineRule="exact"/>
        <w:ind w:leftChars="0"/>
        <w:jc w:val="center"/>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    附件1新溪乡各类资产资源承包费（租金）指导价目表</w:t>
      </w:r>
    </w:p>
    <w:p>
      <w:pPr>
        <w:numPr>
          <w:ilvl w:val="0"/>
          <w:numId w:val="0"/>
        </w:numPr>
        <w:spacing w:line="600" w:lineRule="exact"/>
        <w:ind w:firstLine="640" w:firstLineChars="200"/>
        <w:jc w:val="both"/>
        <w:rPr>
          <w:rFonts w:hint="eastAsia" w:ascii="方正小标宋简体" w:hAnsi="方正小标宋简体" w:eastAsia="方正小标宋简体" w:cs="方正小标宋简体"/>
          <w:sz w:val="36"/>
          <w:szCs w:val="36"/>
          <w:lang w:val="en-US" w:eastAsia="zh-CN"/>
        </w:rPr>
      </w:pPr>
      <w:r>
        <w:rPr>
          <w:rFonts w:hint="eastAsia" w:ascii="仿宋_GB2312" w:hAnsi="宋体" w:eastAsia="仿宋_GB2312" w:cs="仿宋_GB2312"/>
          <w:color w:val="000000"/>
          <w:kern w:val="0"/>
          <w:sz w:val="32"/>
          <w:szCs w:val="32"/>
          <w:lang w:val="en-US" w:eastAsia="zh-CN" w:bidi="ar"/>
        </w:rPr>
        <w:t>附件2资源发包交易流程</w:t>
      </w:r>
    </w:p>
    <w:p>
      <w:pPr>
        <w:numPr>
          <w:ilvl w:val="0"/>
          <w:numId w:val="0"/>
        </w:numPr>
        <w:spacing w:line="600" w:lineRule="exact"/>
        <w:ind w:firstLine="640" w:firstLineChars="200"/>
        <w:jc w:val="both"/>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附件3交易品种</w:t>
      </w:r>
    </w:p>
    <w:p>
      <w:pPr>
        <w:numPr>
          <w:ilvl w:val="0"/>
          <w:numId w:val="0"/>
        </w:numPr>
        <w:spacing w:line="600" w:lineRule="exact"/>
        <w:ind w:firstLine="640" w:firstLineChars="200"/>
        <w:jc w:val="both"/>
        <w:rPr>
          <w:rFonts w:hint="eastAsia" w:ascii="仿宋_GB2312" w:hAnsi="宋体" w:eastAsia="仿宋_GB2312" w:cs="仿宋_GB2312"/>
          <w:color w:val="000000"/>
          <w:kern w:val="0"/>
          <w:sz w:val="32"/>
          <w:szCs w:val="32"/>
          <w:lang w:val="en-US" w:eastAsia="zh-CN" w:bidi="ar"/>
        </w:rPr>
      </w:pPr>
    </w:p>
    <w:p>
      <w:pPr>
        <w:numPr>
          <w:ilvl w:val="0"/>
          <w:numId w:val="0"/>
        </w:numPr>
        <w:spacing w:line="600" w:lineRule="exact"/>
        <w:ind w:firstLine="640" w:firstLineChars="200"/>
        <w:jc w:val="both"/>
        <w:rPr>
          <w:rFonts w:hint="eastAsia" w:ascii="仿宋_GB2312" w:hAnsi="宋体" w:eastAsia="仿宋_GB2312" w:cs="仿宋_GB2312"/>
          <w:color w:val="000000"/>
          <w:kern w:val="0"/>
          <w:sz w:val="32"/>
          <w:szCs w:val="32"/>
          <w:lang w:val="en-US" w:eastAsia="zh-CN" w:bidi="ar"/>
        </w:rPr>
      </w:pPr>
    </w:p>
    <w:p>
      <w:pPr>
        <w:numPr>
          <w:ilvl w:val="0"/>
          <w:numId w:val="0"/>
        </w:numPr>
        <w:spacing w:line="600" w:lineRule="exact"/>
        <w:ind w:firstLine="640" w:firstLineChars="200"/>
        <w:jc w:val="both"/>
        <w:rPr>
          <w:rFonts w:hint="eastAsia" w:ascii="仿宋_GB2312" w:hAnsi="宋体" w:eastAsia="仿宋_GB2312" w:cs="仿宋_GB2312"/>
          <w:color w:val="000000"/>
          <w:kern w:val="0"/>
          <w:sz w:val="32"/>
          <w:szCs w:val="32"/>
          <w:lang w:val="en-US" w:eastAsia="zh-CN" w:bidi="ar"/>
        </w:rPr>
      </w:pPr>
    </w:p>
    <w:p>
      <w:pPr>
        <w:numPr>
          <w:ilvl w:val="0"/>
          <w:numId w:val="0"/>
        </w:numPr>
        <w:spacing w:line="600" w:lineRule="exact"/>
        <w:ind w:firstLine="640" w:firstLineChars="200"/>
        <w:jc w:val="right"/>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新溪乡人民政府</w:t>
      </w:r>
    </w:p>
    <w:p>
      <w:pPr>
        <w:numPr>
          <w:ilvl w:val="0"/>
          <w:numId w:val="0"/>
        </w:numPr>
        <w:spacing w:line="600" w:lineRule="exact"/>
        <w:ind w:firstLine="640" w:firstLineChars="200"/>
        <w:jc w:val="right"/>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2025年4月2日</w:t>
      </w:r>
    </w:p>
    <w:p>
      <w:pPr>
        <w:numPr>
          <w:ilvl w:val="0"/>
          <w:numId w:val="0"/>
        </w:numPr>
        <w:spacing w:line="600" w:lineRule="exact"/>
        <w:ind w:firstLine="640" w:firstLineChars="200"/>
        <w:jc w:val="right"/>
        <w:rPr>
          <w:rFonts w:hint="eastAsia" w:ascii="仿宋_GB2312" w:hAnsi="宋体" w:eastAsia="仿宋_GB2312" w:cs="仿宋_GB2312"/>
          <w:color w:val="000000"/>
          <w:kern w:val="0"/>
          <w:sz w:val="32"/>
          <w:szCs w:val="32"/>
          <w:lang w:val="en-US" w:eastAsia="zh-CN" w:bidi="ar"/>
        </w:rPr>
      </w:pPr>
    </w:p>
    <w:p>
      <w:pPr>
        <w:numPr>
          <w:ilvl w:val="0"/>
          <w:numId w:val="0"/>
        </w:numPr>
        <w:spacing w:line="600" w:lineRule="exact"/>
        <w:ind w:firstLine="640" w:firstLineChars="200"/>
        <w:jc w:val="right"/>
        <w:rPr>
          <w:rFonts w:hint="eastAsia" w:ascii="仿宋_GB2312" w:hAnsi="宋体" w:eastAsia="仿宋_GB2312" w:cs="仿宋_GB2312"/>
          <w:color w:val="000000"/>
          <w:kern w:val="0"/>
          <w:sz w:val="32"/>
          <w:szCs w:val="32"/>
          <w:lang w:val="en-US" w:eastAsia="zh-CN" w:bidi="ar"/>
        </w:rPr>
      </w:pPr>
    </w:p>
    <w:p>
      <w:pPr>
        <w:numPr>
          <w:ilvl w:val="0"/>
          <w:numId w:val="0"/>
        </w:numPr>
        <w:spacing w:line="600" w:lineRule="exact"/>
        <w:ind w:firstLine="640" w:firstLineChars="200"/>
        <w:jc w:val="right"/>
        <w:rPr>
          <w:rFonts w:hint="eastAsia" w:ascii="仿宋_GB2312" w:hAnsi="宋体" w:eastAsia="仿宋_GB2312" w:cs="仿宋_GB2312"/>
          <w:color w:val="000000"/>
          <w:kern w:val="0"/>
          <w:sz w:val="32"/>
          <w:szCs w:val="32"/>
          <w:lang w:val="en-US" w:eastAsia="zh-CN" w:bidi="ar"/>
        </w:rPr>
      </w:pPr>
    </w:p>
    <w:p>
      <w:pPr>
        <w:numPr>
          <w:ilvl w:val="0"/>
          <w:numId w:val="0"/>
        </w:numPr>
        <w:spacing w:line="600" w:lineRule="exact"/>
        <w:ind w:firstLine="640" w:firstLineChars="200"/>
        <w:jc w:val="right"/>
        <w:rPr>
          <w:rFonts w:hint="eastAsia" w:ascii="仿宋_GB2312" w:hAnsi="宋体" w:eastAsia="仿宋_GB2312" w:cs="仿宋_GB2312"/>
          <w:color w:val="000000"/>
          <w:kern w:val="0"/>
          <w:sz w:val="32"/>
          <w:szCs w:val="32"/>
          <w:lang w:val="en-US" w:eastAsia="zh-CN" w:bidi="ar"/>
        </w:rPr>
      </w:pPr>
    </w:p>
    <w:p>
      <w:pPr>
        <w:numPr>
          <w:ilvl w:val="0"/>
          <w:numId w:val="0"/>
        </w:numPr>
        <w:spacing w:line="600" w:lineRule="exact"/>
        <w:ind w:firstLine="640" w:firstLineChars="200"/>
        <w:jc w:val="right"/>
        <w:rPr>
          <w:rFonts w:hint="eastAsia" w:ascii="仿宋_GB2312" w:hAnsi="宋体" w:eastAsia="仿宋_GB2312" w:cs="仿宋_GB2312"/>
          <w:color w:val="000000"/>
          <w:kern w:val="0"/>
          <w:sz w:val="32"/>
          <w:szCs w:val="32"/>
          <w:lang w:val="en-US" w:eastAsia="zh-CN" w:bidi="ar"/>
        </w:rPr>
      </w:pPr>
    </w:p>
    <w:p>
      <w:pPr>
        <w:numPr>
          <w:ilvl w:val="0"/>
          <w:numId w:val="0"/>
        </w:numPr>
        <w:spacing w:line="600" w:lineRule="exact"/>
        <w:ind w:firstLine="640" w:firstLineChars="200"/>
        <w:jc w:val="right"/>
        <w:rPr>
          <w:rFonts w:hint="eastAsia" w:ascii="仿宋_GB2312" w:hAnsi="宋体" w:eastAsia="仿宋_GB2312" w:cs="仿宋_GB2312"/>
          <w:color w:val="000000"/>
          <w:kern w:val="0"/>
          <w:sz w:val="32"/>
          <w:szCs w:val="32"/>
          <w:lang w:val="en-US" w:eastAsia="zh-CN" w:bidi="ar"/>
        </w:rPr>
      </w:pPr>
    </w:p>
    <w:p>
      <w:pPr>
        <w:numPr>
          <w:ilvl w:val="0"/>
          <w:numId w:val="0"/>
        </w:numPr>
        <w:spacing w:line="600" w:lineRule="exact"/>
        <w:jc w:val="both"/>
        <w:rPr>
          <w:rFonts w:hint="eastAsia" w:ascii="仿宋_GB2312" w:hAnsi="宋体" w:eastAsia="仿宋_GB2312" w:cs="仿宋_GB2312"/>
          <w:color w:val="000000"/>
          <w:kern w:val="0"/>
          <w:sz w:val="32"/>
          <w:szCs w:val="32"/>
          <w:lang w:val="en-US" w:eastAsia="zh-CN" w:bidi="ar"/>
        </w:rPr>
      </w:pPr>
    </w:p>
    <w:p>
      <w:pPr>
        <w:spacing w:line="570" w:lineRule="exact"/>
        <w:rPr>
          <w:rFonts w:hint="eastAsia" w:ascii="仿宋_GB2312" w:hAnsi="仿宋_GB2312" w:eastAsia="仿宋_GB2312" w:cs="仿宋_GB2312"/>
          <w:sz w:val="32"/>
          <w:szCs w:val="32"/>
          <w:u w:val="single"/>
        </w:rPr>
      </w:pPr>
      <w:bookmarkStart w:id="0" w:name="OLE_LINK3"/>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spacing w:line="570" w:lineRule="exact"/>
        <w:rPr>
          <w:rFonts w:hint="eastAsia" w:ascii="仿宋" w:hAnsi="仿宋" w:eastAsia="仿宋"/>
          <w:sz w:val="32"/>
          <w:szCs w:val="32"/>
          <w:lang w:val="en-US" w:eastAsia="zh-CN"/>
        </w:rPr>
      </w:pPr>
      <w:r>
        <w:rPr>
          <w:rFonts w:hint="eastAsia" w:ascii="仿宋_GB2312" w:hAnsi="仿宋_GB2312" w:eastAsia="仿宋_GB2312" w:cs="仿宋_GB2312"/>
          <w:sz w:val="28"/>
          <w:szCs w:val="28"/>
          <w:u w:val="single"/>
        </w:rPr>
        <w:t xml:space="preserve">新溪乡人民政府办公室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20</w:t>
      </w:r>
      <w:r>
        <w:rPr>
          <w:rFonts w:hint="eastAsia" w:ascii="仿宋_GB2312" w:hAnsi="仿宋_GB2312" w:eastAsia="仿宋_GB2312" w:cs="仿宋_GB2312"/>
          <w:sz w:val="28"/>
          <w:szCs w:val="28"/>
          <w:u w:val="single"/>
          <w:lang w:val="en-US" w:eastAsia="zh-CN"/>
        </w:rPr>
        <w:t>25</w:t>
      </w:r>
      <w:r>
        <w:rPr>
          <w:rFonts w:hint="eastAsia" w:ascii="仿宋_GB2312" w:hAnsi="仿宋_GB2312" w:eastAsia="仿宋_GB2312" w:cs="仿宋_GB2312"/>
          <w:sz w:val="28"/>
          <w:szCs w:val="28"/>
          <w:u w:val="single"/>
        </w:rPr>
        <w:t>年</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u w:val="single"/>
        </w:rPr>
        <w:t>月</w:t>
      </w:r>
      <w:r>
        <w:rPr>
          <w:rFonts w:hint="eastAsia" w:ascii="仿宋_GB2312" w:hAnsi="仿宋_GB2312" w:eastAsia="仿宋_GB2312" w:cs="仿宋_GB2312"/>
          <w:sz w:val="28"/>
          <w:szCs w:val="28"/>
          <w:u w:val="single"/>
          <w:lang w:val="en-US" w:eastAsia="zh-CN"/>
        </w:rPr>
        <w:t>2</w:t>
      </w:r>
      <w:r>
        <w:rPr>
          <w:rFonts w:hint="eastAsia" w:ascii="仿宋_GB2312" w:hAnsi="仿宋_GB2312" w:eastAsia="仿宋_GB2312" w:cs="仿宋_GB2312"/>
          <w:sz w:val="28"/>
          <w:szCs w:val="28"/>
          <w:u w:val="single"/>
        </w:rPr>
        <w:t xml:space="preserve">日印发  </w:t>
      </w:r>
      <w:r>
        <w:rPr>
          <w:rFonts w:hint="eastAsia" w:ascii="仿宋_GB2312" w:hAnsi="仿宋_GB2312" w:eastAsia="仿宋_GB2312" w:cs="仿宋_GB2312"/>
          <w:sz w:val="32"/>
          <w:szCs w:val="32"/>
          <w:u w:val="single"/>
        </w:rPr>
        <w:t xml:space="preserve">      </w:t>
      </w:r>
    </w:p>
    <w:bookmarkEnd w:id="0"/>
    <w:p>
      <w:pPr>
        <w:numPr>
          <w:ilvl w:val="0"/>
          <w:numId w:val="0"/>
        </w:numPr>
        <w:spacing w:line="600" w:lineRule="exact"/>
        <w:ind w:leftChars="0"/>
        <w:rPr>
          <w:rFonts w:hint="default" w:ascii="仿宋" w:hAnsi="仿宋" w:eastAsia="仿宋"/>
          <w:sz w:val="32"/>
          <w:szCs w:val="32"/>
          <w:lang w:val="en-US" w:eastAsia="zh-CN"/>
        </w:rPr>
      </w:pPr>
      <w:r>
        <w:rPr>
          <w:rFonts w:hint="eastAsia" w:ascii="仿宋" w:hAnsi="仿宋" w:eastAsia="仿宋"/>
          <w:sz w:val="32"/>
          <w:szCs w:val="32"/>
          <w:lang w:val="en-US" w:eastAsia="zh-CN"/>
        </w:rPr>
        <w:t>附件1</w:t>
      </w:r>
    </w:p>
    <w:p>
      <w:pPr>
        <w:numPr>
          <w:ilvl w:val="0"/>
          <w:numId w:val="0"/>
        </w:numPr>
        <w:spacing w:line="600" w:lineRule="exact"/>
        <w:ind w:leftChars="0"/>
        <w:rPr>
          <w:rFonts w:hint="eastAsia" w:ascii="仿宋" w:hAnsi="仿宋" w:eastAsia="仿宋"/>
          <w:sz w:val="32"/>
          <w:szCs w:val="32"/>
          <w:lang w:val="en-US" w:eastAsia="zh-CN"/>
        </w:rPr>
      </w:pPr>
    </w:p>
    <w:p>
      <w:pPr>
        <w:numPr>
          <w:ilvl w:val="0"/>
          <w:numId w:val="0"/>
        </w:numPr>
        <w:spacing w:line="600" w:lineRule="exact"/>
        <w:ind w:leftChars="0"/>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新溪乡各类资产资源承包费（租金）指导价目表</w:t>
      </w:r>
    </w:p>
    <w:p>
      <w:pPr>
        <w:numPr>
          <w:ilvl w:val="0"/>
          <w:numId w:val="0"/>
        </w:numPr>
        <w:spacing w:line="600" w:lineRule="exact"/>
        <w:ind w:leftChars="0"/>
        <w:jc w:val="center"/>
        <w:rPr>
          <w:rFonts w:hint="eastAsia" w:ascii="方正小标宋简体" w:hAnsi="方正小标宋简体" w:eastAsia="方正小标宋简体" w:cs="方正小标宋简体"/>
          <w:sz w:val="32"/>
          <w:szCs w:val="32"/>
          <w:lang w:val="en-US" w:eastAsia="zh-CN"/>
        </w:rPr>
      </w:pPr>
    </w:p>
    <w:tbl>
      <w:tblPr>
        <w:tblStyle w:val="4"/>
        <w:tblW w:w="83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4"/>
        <w:gridCol w:w="2271"/>
        <w:gridCol w:w="4"/>
        <w:gridCol w:w="4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812"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项目类型</w:t>
            </w:r>
          </w:p>
        </w:tc>
        <w:tc>
          <w:tcPr>
            <w:tcW w:w="22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指导价</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（元/亩/年）</w:t>
            </w:r>
          </w:p>
        </w:tc>
        <w:tc>
          <w:tcPr>
            <w:tcW w:w="4237"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08"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荒山地</w:t>
            </w:r>
          </w:p>
        </w:tc>
        <w:tc>
          <w:tcPr>
            <w:tcW w:w="22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70</w:t>
            </w:r>
          </w:p>
        </w:tc>
        <w:tc>
          <w:tcPr>
            <w:tcW w:w="4241"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    含砍伐期在内，根据山地和林木长势，密度幅度内评估协议，续签可优先。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08"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稀疏林</w:t>
            </w:r>
          </w:p>
        </w:tc>
        <w:tc>
          <w:tcPr>
            <w:tcW w:w="22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70</w:t>
            </w:r>
          </w:p>
        </w:tc>
        <w:tc>
          <w:tcPr>
            <w:tcW w:w="4241"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08"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中幼林</w:t>
            </w:r>
          </w:p>
        </w:tc>
        <w:tc>
          <w:tcPr>
            <w:tcW w:w="22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100</w:t>
            </w:r>
          </w:p>
        </w:tc>
        <w:tc>
          <w:tcPr>
            <w:tcW w:w="4241"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08"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荒草田地</w:t>
            </w:r>
          </w:p>
        </w:tc>
        <w:tc>
          <w:tcPr>
            <w:tcW w:w="22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70</w:t>
            </w:r>
          </w:p>
        </w:tc>
        <w:tc>
          <w:tcPr>
            <w:tcW w:w="4241"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续签可优先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08"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普通田</w:t>
            </w:r>
          </w:p>
        </w:tc>
        <w:tc>
          <w:tcPr>
            <w:tcW w:w="22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150</w:t>
            </w:r>
          </w:p>
        </w:tc>
        <w:tc>
          <w:tcPr>
            <w:tcW w:w="4241"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08"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良田</w:t>
            </w:r>
          </w:p>
        </w:tc>
        <w:tc>
          <w:tcPr>
            <w:tcW w:w="22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300</w:t>
            </w:r>
          </w:p>
        </w:tc>
        <w:tc>
          <w:tcPr>
            <w:tcW w:w="4241"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12"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水面</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（鱼塘）</w:t>
            </w:r>
          </w:p>
        </w:tc>
        <w:tc>
          <w:tcPr>
            <w:tcW w:w="22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150</w:t>
            </w:r>
          </w:p>
        </w:tc>
        <w:tc>
          <w:tcPr>
            <w:tcW w:w="4237"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    所有养殖必须符合环保要求，续签可优先。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12"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果园（场）</w:t>
            </w:r>
          </w:p>
        </w:tc>
        <w:tc>
          <w:tcPr>
            <w:tcW w:w="22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150</w:t>
            </w:r>
          </w:p>
        </w:tc>
        <w:tc>
          <w:tcPr>
            <w:tcW w:w="4237"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续签可优先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12"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房屋</w:t>
            </w:r>
          </w:p>
        </w:tc>
        <w:tc>
          <w:tcPr>
            <w:tcW w:w="22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参照市场价面议</w:t>
            </w:r>
          </w:p>
        </w:tc>
        <w:tc>
          <w:tcPr>
            <w:tcW w:w="4237"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续签可优先</w:t>
            </w:r>
          </w:p>
        </w:tc>
      </w:tr>
    </w:tbl>
    <w:p/>
    <w:p/>
    <w:p/>
    <w:p/>
    <w:p/>
    <w:p/>
    <w:p/>
    <w:p/>
    <w:p/>
    <w:p>
      <w:pPr>
        <w:numPr>
          <w:ilvl w:val="0"/>
          <w:numId w:val="0"/>
        </w:numPr>
        <w:spacing w:line="600" w:lineRule="exact"/>
        <w:ind w:leftChars="0"/>
        <w:rPr>
          <w:rFonts w:hint="eastAsia" w:ascii="仿宋" w:hAnsi="仿宋" w:eastAsia="仿宋"/>
          <w:sz w:val="32"/>
          <w:szCs w:val="32"/>
          <w:lang w:val="en-US" w:eastAsia="zh-CN"/>
        </w:rPr>
      </w:pPr>
      <w:r>
        <w:rPr>
          <w:rFonts w:hint="eastAsia"/>
          <w:lang w:val="en-US" w:eastAsia="zh-CN"/>
        </w:rPr>
        <w:tab/>
      </w:r>
      <w:r>
        <w:rPr>
          <w:rFonts w:hint="eastAsia" w:ascii="仿宋" w:hAnsi="仿宋" w:eastAsia="仿宋"/>
          <w:sz w:val="32"/>
          <w:szCs w:val="32"/>
          <w:lang w:val="en-US" w:eastAsia="zh-CN"/>
        </w:rPr>
        <w:t>附件1</w:t>
      </w:r>
    </w:p>
    <w:p>
      <w:pPr>
        <w:numPr>
          <w:ilvl w:val="0"/>
          <w:numId w:val="0"/>
        </w:numPr>
        <w:spacing w:line="600" w:lineRule="exact"/>
        <w:ind w:leftChars="0"/>
        <w:rPr>
          <w:rFonts w:hint="default" w:ascii="仿宋" w:hAnsi="仿宋" w:eastAsia="仿宋"/>
          <w:sz w:val="32"/>
          <w:szCs w:val="32"/>
          <w:lang w:val="en-US" w:eastAsia="zh-CN"/>
        </w:rPr>
      </w:pPr>
    </w:p>
    <w:p>
      <w:pPr>
        <w:numPr>
          <w:ilvl w:val="0"/>
          <w:numId w:val="0"/>
        </w:numPr>
        <w:spacing w:line="600" w:lineRule="exact"/>
        <w:ind w:leftChars="0"/>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资源发包交易流程</w:t>
      </w:r>
    </w:p>
    <w:p>
      <w:pPr>
        <w:jc w:val="center"/>
        <w:rPr>
          <w:rFonts w:hint="eastAsia"/>
          <w:lang w:val="en-US" w:eastAsia="zh-CN"/>
        </w:rPr>
      </w:pPr>
    </w:p>
    <w:tbl>
      <w:tblPr>
        <w:tblStyle w:val="4"/>
        <w:tblpPr w:leftFromText="180" w:rightFromText="180" w:vertAnchor="text" w:horzAnchor="page" w:tblpX="4173" w:tblpY="1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2" w:type="dxa"/>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联系产权交易中心</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联系电话：07902196988</w:t>
            </w:r>
          </w:p>
        </w:tc>
      </w:tr>
    </w:tbl>
    <w:p>
      <w:pPr>
        <w:jc w:val="center"/>
        <w:rPr>
          <w:rFonts w:hint="eastAsia" w:ascii="仿宋" w:hAnsi="仿宋" w:eastAsia="仿宋" w:cs="仿宋"/>
          <w:sz w:val="21"/>
          <w:szCs w:val="21"/>
          <w:lang w:val="en-US" w:eastAsia="zh-CN"/>
        </w:rPr>
      </w:pPr>
    </w:p>
    <w:p>
      <w:pPr>
        <w:bidi w:val="0"/>
        <w:rPr>
          <w:rFonts w:hint="eastAsia" w:ascii="仿宋" w:hAnsi="仿宋" w:eastAsia="仿宋" w:cs="仿宋"/>
          <w:kern w:val="2"/>
          <w:sz w:val="21"/>
          <w:szCs w:val="21"/>
          <w:lang w:val="en-US" w:eastAsia="zh-CN" w:bidi="ar-SA"/>
        </w:rPr>
      </w:pPr>
    </w:p>
    <w:p>
      <w:pPr>
        <w:bidi w:val="0"/>
        <w:rPr>
          <w:rFonts w:hint="eastAsia" w:ascii="仿宋" w:hAnsi="仿宋" w:eastAsia="仿宋" w:cs="仿宋"/>
          <w:sz w:val="21"/>
          <w:szCs w:val="21"/>
          <w:lang w:val="en-US" w:eastAsia="zh-CN"/>
        </w:rPr>
      </w:pPr>
    </w:p>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bl>
      <w:tblPr>
        <w:tblStyle w:val="4"/>
        <w:tblpPr w:leftFromText="180" w:rightFromText="180" w:vertAnchor="text" w:horzAnchor="page" w:tblpX="4173" w:tblpY="1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712" w:type="dxa"/>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产权中心来人现场核实发包资源情况</w:t>
            </w:r>
          </w:p>
        </w:tc>
      </w:tr>
    </w:tbl>
    <w:p>
      <w:pPr>
        <w:bidi w:val="0"/>
        <w:jc w:val="center"/>
        <w:rPr>
          <w:rFonts w:hint="eastAsia" w:ascii="仿宋" w:hAnsi="仿宋" w:eastAsia="仿宋" w:cs="仿宋"/>
          <w:sz w:val="21"/>
          <w:szCs w:val="21"/>
          <w:lang w:val="en-US" w:eastAsia="zh-CN"/>
        </w:rPr>
      </w:pPr>
    </w:p>
    <w:p>
      <w:pPr>
        <w:bidi w:val="0"/>
        <w:rPr>
          <w:rFonts w:hint="eastAsia" w:ascii="仿宋" w:hAnsi="仿宋" w:eastAsia="仿宋" w:cs="仿宋"/>
          <w:kern w:val="2"/>
          <w:sz w:val="21"/>
          <w:szCs w:val="21"/>
          <w:lang w:val="en-US" w:eastAsia="zh-CN" w:bidi="ar-SA"/>
        </w:rPr>
      </w:pPr>
    </w:p>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bl>
      <w:tblPr>
        <w:tblStyle w:val="4"/>
        <w:tblpPr w:leftFromText="180" w:rightFromText="180" w:vertAnchor="text" w:horzAnchor="page" w:tblpX="4173" w:tblpY="1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2" w:type="dxa"/>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村委、村小组按照产权交易中心要求收集发包资料</w:t>
            </w:r>
          </w:p>
        </w:tc>
      </w:tr>
    </w:tbl>
    <w:p>
      <w:pPr>
        <w:bidi w:val="0"/>
        <w:jc w:val="center"/>
        <w:rPr>
          <w:rFonts w:hint="eastAsia" w:ascii="仿宋" w:hAnsi="仿宋" w:eastAsia="仿宋" w:cs="仿宋"/>
          <w:sz w:val="21"/>
          <w:szCs w:val="21"/>
          <w:lang w:val="en-US" w:eastAsia="zh-CN"/>
        </w:rPr>
      </w:pPr>
    </w:p>
    <w:p>
      <w:pPr>
        <w:bidi w:val="0"/>
        <w:rPr>
          <w:rFonts w:hint="eastAsia" w:ascii="仿宋" w:hAnsi="仿宋" w:eastAsia="仿宋" w:cs="仿宋"/>
          <w:kern w:val="2"/>
          <w:sz w:val="21"/>
          <w:szCs w:val="21"/>
          <w:lang w:val="en-US" w:eastAsia="zh-CN" w:bidi="ar-SA"/>
        </w:rPr>
      </w:pPr>
    </w:p>
    <w:p>
      <w:pPr>
        <w:bidi w:val="0"/>
        <w:rPr>
          <w:rFonts w:hint="eastAsia" w:ascii="仿宋" w:hAnsi="仿宋" w:eastAsia="仿宋" w:cs="仿宋"/>
          <w:sz w:val="21"/>
          <w:szCs w:val="21"/>
          <w:lang w:val="en-US" w:eastAsia="zh-CN"/>
        </w:rPr>
      </w:pPr>
    </w:p>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bl>
      <w:tblPr>
        <w:tblStyle w:val="4"/>
        <w:tblpPr w:leftFromText="180" w:rightFromText="180" w:vertAnchor="text" w:horzAnchor="page" w:tblpX="4192" w:tblpY="7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2" w:type="dxa"/>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村委、村小组与产权交易中心协商资产资源发包年限及价格并报乡政府经济发展办公室审核</w:t>
            </w:r>
          </w:p>
        </w:tc>
      </w:tr>
    </w:tbl>
    <w:p>
      <w:pPr>
        <w:bidi w:val="0"/>
        <w:jc w:val="center"/>
        <w:rPr>
          <w:rFonts w:hint="eastAsia" w:ascii="仿宋" w:hAnsi="仿宋" w:eastAsia="仿宋" w:cs="仿宋"/>
          <w:sz w:val="21"/>
          <w:szCs w:val="21"/>
          <w:lang w:val="en-US" w:eastAsia="zh-CN"/>
        </w:rPr>
      </w:pPr>
    </w:p>
    <w:p>
      <w:pPr>
        <w:bidi w:val="0"/>
        <w:rPr>
          <w:rFonts w:hint="eastAsia" w:ascii="仿宋" w:hAnsi="仿宋" w:eastAsia="仿宋" w:cs="仿宋"/>
          <w:kern w:val="2"/>
          <w:sz w:val="21"/>
          <w:szCs w:val="21"/>
          <w:lang w:val="en-US" w:eastAsia="zh-CN" w:bidi="ar-SA"/>
        </w:rPr>
      </w:pPr>
    </w:p>
    <w:p>
      <w:pPr>
        <w:bidi w:val="0"/>
        <w:rPr>
          <w:rFonts w:hint="eastAsia" w:ascii="仿宋" w:hAnsi="仿宋" w:eastAsia="仿宋" w:cs="仿宋"/>
          <w:sz w:val="21"/>
          <w:szCs w:val="21"/>
          <w:lang w:val="en-US" w:eastAsia="zh-CN"/>
        </w:rPr>
      </w:pPr>
    </w:p>
    <w:p>
      <w:pPr>
        <w:bidi w:val="0"/>
        <w:jc w:val="center"/>
        <w:rPr>
          <w:rFonts w:hint="eastAsia" w:ascii="仿宋" w:hAnsi="仿宋" w:eastAsia="仿宋" w:cs="仿宋"/>
          <w:sz w:val="21"/>
          <w:szCs w:val="21"/>
          <w:lang w:val="en-US" w:eastAsia="zh-CN"/>
        </w:rPr>
      </w:pPr>
    </w:p>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bl>
      <w:tblPr>
        <w:tblStyle w:val="4"/>
        <w:tblpPr w:leftFromText="180" w:rightFromText="180" w:vertAnchor="text" w:horzAnchor="page" w:tblpX="4173"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2" w:type="dxa"/>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产权交易中心挂牌、村级公示</w:t>
            </w:r>
          </w:p>
        </w:tc>
      </w:tr>
    </w:tbl>
    <w:p>
      <w:pPr>
        <w:bidi w:val="0"/>
        <w:rPr>
          <w:rFonts w:hint="eastAsia" w:ascii="仿宋" w:hAnsi="仿宋" w:eastAsia="仿宋" w:cs="仿宋"/>
          <w:kern w:val="2"/>
          <w:sz w:val="21"/>
          <w:szCs w:val="21"/>
          <w:lang w:val="en-US" w:eastAsia="zh-CN" w:bidi="ar-SA"/>
        </w:rPr>
      </w:pPr>
    </w:p>
    <w:tbl>
      <w:tblPr>
        <w:tblStyle w:val="4"/>
        <w:tblpPr w:leftFromText="180" w:rightFromText="180" w:vertAnchor="text" w:horzAnchor="page" w:tblpX="4154" w:tblpY="80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2" w:type="dxa"/>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竞拍成功后由产权交易中心组织村委、村小组负责人与承包人签订合同</w:t>
            </w:r>
          </w:p>
        </w:tc>
      </w:tr>
    </w:tbl>
    <w:p>
      <w:pPr>
        <w:bidi w:val="0"/>
        <w:jc w:val="center"/>
        <w:rPr>
          <w:rFonts w:hint="eastAsia" w:ascii="仿宋" w:hAnsi="仿宋" w:eastAsia="仿宋" w:cs="仿宋"/>
          <w:sz w:val="21"/>
          <w:szCs w:val="21"/>
          <w:lang w:val="en-US" w:eastAsia="zh-CN"/>
        </w:rPr>
      </w:pPr>
    </w:p>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p>
      <w:pPr>
        <w:rPr>
          <w:rFonts w:hint="eastAsia" w:ascii="仿宋" w:hAnsi="仿宋" w:eastAsia="仿宋" w:cs="仿宋"/>
          <w:sz w:val="21"/>
          <w:szCs w:val="21"/>
        </w:rPr>
      </w:pPr>
    </w:p>
    <w:p>
      <w:pPr>
        <w:bidi w:val="0"/>
        <w:rPr>
          <w:rFonts w:hint="eastAsia" w:ascii="仿宋" w:hAnsi="仿宋" w:eastAsia="仿宋" w:cs="仿宋"/>
          <w:kern w:val="2"/>
          <w:sz w:val="21"/>
          <w:szCs w:val="21"/>
          <w:lang w:val="en-US" w:eastAsia="zh-CN" w:bidi="ar-SA"/>
        </w:rPr>
      </w:pPr>
    </w:p>
    <w:p>
      <w:pPr>
        <w:bidi w:val="0"/>
        <w:jc w:val="center"/>
        <w:rPr>
          <w:rFonts w:hint="eastAsia" w:ascii="仿宋" w:hAnsi="仿宋" w:eastAsia="仿宋" w:cs="仿宋"/>
          <w:sz w:val="21"/>
          <w:szCs w:val="21"/>
          <w:lang w:val="en-US" w:eastAsia="zh-CN"/>
        </w:rPr>
      </w:pPr>
    </w:p>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bl>
      <w:tblPr>
        <w:tblStyle w:val="4"/>
        <w:tblpPr w:leftFromText="180" w:rightFromText="180" w:vertAnchor="text" w:horzAnchor="page" w:tblpX="4192" w:tblpY="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2" w:type="dxa"/>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合同签订完之后五个工作日内把合同录入三资管理平台并将合同复印件交乡经济发展办公室备案</w:t>
            </w:r>
          </w:p>
        </w:tc>
      </w:tr>
    </w:tbl>
    <w:p>
      <w:pPr>
        <w:bidi w:val="0"/>
        <w:rPr>
          <w:rFonts w:hint="eastAsia" w:ascii="仿宋" w:hAnsi="仿宋" w:eastAsia="仿宋" w:cs="仿宋"/>
          <w:kern w:val="2"/>
          <w:sz w:val="21"/>
          <w:szCs w:val="21"/>
          <w:lang w:val="en-US" w:eastAsia="zh-CN" w:bidi="ar-SA"/>
        </w:rPr>
      </w:pPr>
    </w:p>
    <w:p>
      <w:pPr>
        <w:bidi w:val="0"/>
        <w:rPr>
          <w:rFonts w:hint="eastAsia" w:ascii="仿宋" w:hAnsi="仿宋" w:eastAsia="仿宋" w:cs="仿宋"/>
          <w:sz w:val="21"/>
          <w:szCs w:val="21"/>
          <w:lang w:val="en-US" w:eastAsia="zh-CN"/>
        </w:rPr>
      </w:pPr>
    </w:p>
    <w:p>
      <w:pPr>
        <w:bidi w:val="0"/>
        <w:rPr>
          <w:rFonts w:hint="eastAsia" w:ascii="仿宋" w:hAnsi="仿宋" w:eastAsia="仿宋" w:cs="仿宋"/>
          <w:sz w:val="21"/>
          <w:szCs w:val="21"/>
          <w:lang w:val="en-US" w:eastAsia="zh-CN"/>
        </w:rPr>
      </w:pPr>
    </w:p>
    <w:p>
      <w:pPr>
        <w:numPr>
          <w:ilvl w:val="0"/>
          <w:numId w:val="0"/>
        </w:numPr>
        <w:spacing w:line="600" w:lineRule="exact"/>
        <w:ind w:leftChars="0"/>
        <w:rPr>
          <w:rFonts w:hint="default" w:ascii="仿宋" w:hAnsi="仿宋" w:eastAsia="仿宋"/>
          <w:sz w:val="32"/>
          <w:szCs w:val="32"/>
          <w:lang w:val="en-US" w:eastAsia="zh-CN"/>
        </w:rPr>
      </w:pPr>
      <w:r>
        <w:rPr>
          <w:rFonts w:hint="eastAsia" w:ascii="仿宋" w:hAnsi="仿宋" w:eastAsia="仿宋"/>
          <w:sz w:val="32"/>
          <w:szCs w:val="32"/>
          <w:lang w:val="en-US" w:eastAsia="zh-CN"/>
        </w:rPr>
        <w:t>附件3</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黑体" w:hAnsi="黑体" w:eastAsia="黑体"/>
          <w:sz w:val="32"/>
          <w:szCs w:val="32"/>
          <w:lang w:val="en-US" w:eastAsia="zh-CN"/>
        </w:rPr>
      </w:pPr>
    </w:p>
    <w:p>
      <w:pPr>
        <w:numPr>
          <w:ilvl w:val="0"/>
          <w:numId w:val="0"/>
        </w:numPr>
        <w:spacing w:line="600" w:lineRule="exact"/>
        <w:ind w:leftChars="0"/>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交易品种</w:t>
      </w:r>
      <w:bookmarkStart w:id="1" w:name="_Hlk45187139"/>
    </w:p>
    <w:p>
      <w:pPr>
        <w:numPr>
          <w:ilvl w:val="0"/>
          <w:numId w:val="0"/>
        </w:numPr>
        <w:spacing w:line="600" w:lineRule="exact"/>
        <w:ind w:leftChars="0"/>
        <w:jc w:val="center"/>
        <w:rPr>
          <w:rFonts w:hint="eastAsia" w:ascii="方正小标宋简体" w:hAnsi="方正小标宋简体" w:eastAsia="方正小标宋简体" w:cs="方正小标宋简体"/>
          <w:sz w:val="36"/>
          <w:szCs w:val="36"/>
          <w:lang w:val="en-US" w:eastAsia="zh-CN"/>
        </w:rPr>
      </w:pPr>
    </w:p>
    <w:p>
      <w:pPr>
        <w:spacing w:line="560" w:lineRule="exact"/>
        <w:ind w:firstLine="640" w:firstLineChars="200"/>
        <w:rPr>
          <w:rFonts w:hint="eastAsia" w:ascii="仿宋_GB2312" w:eastAsia="仿宋_GB2312"/>
          <w:b/>
          <w:snapToGrid w:val="0"/>
          <w:sz w:val="32"/>
          <w:szCs w:val="32"/>
        </w:rPr>
      </w:pPr>
      <w:r>
        <w:rPr>
          <w:rFonts w:hint="eastAsia" w:ascii="仿宋_GB2312" w:eastAsia="仿宋_GB2312"/>
          <w:snapToGrid w:val="0"/>
          <w:sz w:val="32"/>
          <w:szCs w:val="32"/>
        </w:rPr>
        <w:t>法律没有限制的品种均可以入市流转交易，流转交易的方式、期限和流转交易后的开发利用要遵循相关法律、法规和政策。现阶段的交易品种主要包括：</w:t>
      </w:r>
    </w:p>
    <w:p>
      <w:pPr>
        <w:spacing w:line="560" w:lineRule="exact"/>
        <w:ind w:firstLine="640" w:firstLineChars="200"/>
        <w:rPr>
          <w:rFonts w:ascii="仿宋_GB2312" w:eastAsia="仿宋_GB2312"/>
          <w:snapToGrid w:val="0"/>
          <w:sz w:val="32"/>
          <w:szCs w:val="32"/>
        </w:rPr>
      </w:pPr>
      <w:r>
        <w:rPr>
          <w:rFonts w:hint="eastAsia" w:ascii="仿宋_GB2312" w:eastAsia="仿宋_GB2312"/>
          <w:sz w:val="32"/>
          <w:szCs w:val="32"/>
        </w:rPr>
        <w:t>(一）</w:t>
      </w:r>
      <w:r>
        <w:rPr>
          <w:rFonts w:hint="eastAsia" w:ascii="仿宋_GB2312" w:eastAsia="仿宋_GB2312"/>
          <w:b/>
          <w:snapToGrid w:val="0"/>
          <w:sz w:val="32"/>
          <w:szCs w:val="32"/>
        </w:rPr>
        <w:t>农村承包土地经营权。</w:t>
      </w:r>
      <w:r>
        <w:rPr>
          <w:rFonts w:hint="eastAsia" w:ascii="仿宋_GB2312" w:eastAsia="仿宋_GB2312"/>
          <w:snapToGrid w:val="0"/>
          <w:sz w:val="32"/>
          <w:szCs w:val="32"/>
        </w:rPr>
        <w:t>是指以家庭承包方式承包的耕地、草地、养殖水面等的经营权，可以采取出租、入股等方式流转交易，流转期限不能超过法定期限。</w:t>
      </w:r>
    </w:p>
    <w:p>
      <w:pPr>
        <w:spacing w:line="560" w:lineRule="exact"/>
        <w:ind w:firstLine="640"/>
        <w:rPr>
          <w:rFonts w:ascii="仿宋_GB2312" w:eastAsia="仿宋_GB2312"/>
          <w:snapToGrid w:val="0"/>
          <w:sz w:val="32"/>
          <w:szCs w:val="32"/>
        </w:rPr>
      </w:pPr>
      <w:r>
        <w:rPr>
          <w:rFonts w:hint="eastAsia" w:ascii="仿宋_GB2312" w:eastAsia="仿宋_GB2312"/>
          <w:sz w:val="32"/>
          <w:szCs w:val="32"/>
        </w:rPr>
        <w:t>(</w:t>
      </w:r>
      <w:r>
        <w:rPr>
          <w:rFonts w:hint="eastAsia" w:ascii="仿宋_GB2312" w:eastAsia="仿宋_GB2312"/>
          <w:sz w:val="32"/>
          <w:szCs w:val="32"/>
          <w:lang w:val="en-US" w:eastAsia="zh-CN"/>
        </w:rPr>
        <w:t>二</w:t>
      </w:r>
      <w:r>
        <w:rPr>
          <w:rFonts w:hint="eastAsia" w:ascii="仿宋_GB2312" w:eastAsia="仿宋_GB2312"/>
          <w:sz w:val="32"/>
          <w:szCs w:val="32"/>
        </w:rPr>
        <w:t>）</w:t>
      </w:r>
      <w:r>
        <w:rPr>
          <w:rFonts w:hint="eastAsia" w:ascii="仿宋_GB2312" w:eastAsia="仿宋_GB2312"/>
          <w:b/>
          <w:snapToGrid w:val="0"/>
          <w:sz w:val="32"/>
          <w:szCs w:val="32"/>
        </w:rPr>
        <w:t>林权。</w:t>
      </w:r>
      <w:r>
        <w:rPr>
          <w:rFonts w:hint="eastAsia" w:ascii="仿宋_GB2312" w:eastAsia="仿宋_GB2312"/>
          <w:snapToGrid w:val="0"/>
          <w:sz w:val="32"/>
          <w:szCs w:val="32"/>
        </w:rPr>
        <w:t>是指集体林地经营权和林木所有权、使用权以及承包到户的林地经营权等，可以采取出租、转让、入股、作价出资或合作等方式流转交易，流转期限不能超过法定期限。</w:t>
      </w:r>
    </w:p>
    <w:p>
      <w:pPr>
        <w:spacing w:line="560" w:lineRule="exact"/>
        <w:ind w:firstLine="640"/>
        <w:rPr>
          <w:rFonts w:ascii="仿宋_GB2312" w:eastAsia="仿宋_GB2312"/>
          <w:snapToGrid w:val="0"/>
          <w:sz w:val="32"/>
          <w:szCs w:val="32"/>
        </w:rPr>
      </w:pPr>
      <w:r>
        <w:rPr>
          <w:rFonts w:hint="eastAsia" w:ascii="仿宋_GB2312" w:eastAsia="仿宋_GB2312"/>
          <w:sz w:val="32"/>
          <w:szCs w:val="32"/>
        </w:rPr>
        <w:t>(</w:t>
      </w:r>
      <w:r>
        <w:rPr>
          <w:rFonts w:hint="eastAsia" w:ascii="仿宋_GB2312" w:eastAsia="仿宋_GB2312"/>
          <w:sz w:val="32"/>
          <w:szCs w:val="32"/>
          <w:lang w:val="en-US" w:eastAsia="zh-CN"/>
        </w:rPr>
        <w:t>三</w:t>
      </w:r>
      <w:r>
        <w:rPr>
          <w:rFonts w:hint="eastAsia" w:ascii="仿宋_GB2312" w:eastAsia="仿宋_GB2312"/>
          <w:sz w:val="32"/>
          <w:szCs w:val="32"/>
        </w:rPr>
        <w:t>）</w:t>
      </w:r>
      <w:r>
        <w:rPr>
          <w:rFonts w:hint="eastAsia" w:ascii="仿宋_GB2312" w:eastAsia="仿宋_GB2312"/>
          <w:b/>
          <w:snapToGrid w:val="0"/>
          <w:sz w:val="32"/>
          <w:szCs w:val="32"/>
        </w:rPr>
        <w:t>“四荒”使用权。</w:t>
      </w:r>
      <w:r>
        <w:rPr>
          <w:rFonts w:hint="eastAsia" w:ascii="仿宋_GB2312" w:eastAsia="仿宋_GB2312"/>
          <w:snapToGrid w:val="0"/>
          <w:sz w:val="32"/>
          <w:szCs w:val="32"/>
        </w:rPr>
        <w:t>是指农村集体所有的荒山、荒沟、荒丘、荒滩使用权。采取家庭承包方式取得的，按照农户承包土地经营权有关规定进行流转交易；以其他方式承包的，可以采取转让、出租、入股、抵押等方式流转交易。</w:t>
      </w:r>
    </w:p>
    <w:p>
      <w:pPr>
        <w:spacing w:line="560" w:lineRule="exact"/>
        <w:ind w:firstLine="640"/>
        <w:rPr>
          <w:rFonts w:ascii="仿宋_GB2312" w:eastAsia="仿宋_GB2312"/>
          <w:snapToGrid w:val="0"/>
          <w:sz w:val="32"/>
          <w:szCs w:val="32"/>
        </w:rPr>
      </w:pPr>
      <w:r>
        <w:rPr>
          <w:rFonts w:hint="eastAsia" w:ascii="仿宋_GB2312" w:eastAsia="仿宋_GB2312"/>
          <w:sz w:val="32"/>
          <w:szCs w:val="32"/>
        </w:rPr>
        <w:t>(</w:t>
      </w:r>
      <w:r>
        <w:rPr>
          <w:rFonts w:hint="eastAsia" w:ascii="仿宋_GB2312" w:eastAsia="仿宋_GB2312"/>
          <w:sz w:val="32"/>
          <w:szCs w:val="32"/>
          <w:lang w:val="en-US" w:eastAsia="zh-CN"/>
        </w:rPr>
        <w:t>四</w:t>
      </w:r>
      <w:r>
        <w:rPr>
          <w:rFonts w:hint="eastAsia" w:ascii="仿宋_GB2312" w:eastAsia="仿宋_GB2312"/>
          <w:sz w:val="32"/>
          <w:szCs w:val="32"/>
        </w:rPr>
        <w:t>）</w:t>
      </w:r>
      <w:r>
        <w:rPr>
          <w:rFonts w:hint="eastAsia" w:ascii="仿宋_GB2312" w:eastAsia="仿宋_GB2312"/>
          <w:b/>
          <w:snapToGrid w:val="0"/>
          <w:sz w:val="32"/>
          <w:szCs w:val="32"/>
        </w:rPr>
        <w:t>农村集体经营性资产。</w:t>
      </w:r>
      <w:r>
        <w:rPr>
          <w:rFonts w:hint="eastAsia" w:ascii="仿宋_GB2312" w:eastAsia="仿宋_GB2312"/>
          <w:snapToGrid w:val="0"/>
          <w:sz w:val="32"/>
          <w:szCs w:val="32"/>
        </w:rPr>
        <w:t>是指由农村集体统一经营管理的经营性资产（不含土地）的所有权或使用权，包括集体所有的房屋建筑（住宅、商铺、货场、农贸市场等）等资产，可以采取承包、租赁、出让、入股、合资、合作等方式流转交易。</w:t>
      </w:r>
    </w:p>
    <w:p>
      <w:pPr>
        <w:spacing w:line="560" w:lineRule="exact"/>
        <w:ind w:firstLine="640"/>
        <w:rPr>
          <w:rFonts w:ascii="仿宋_GB2312" w:eastAsia="仿宋_GB2312"/>
          <w:snapToGrid w:val="0"/>
          <w:sz w:val="32"/>
          <w:szCs w:val="32"/>
        </w:rPr>
      </w:pPr>
      <w:r>
        <w:rPr>
          <w:rFonts w:hint="eastAsia" w:ascii="仿宋_GB2312" w:eastAsia="仿宋_GB2312"/>
          <w:sz w:val="32"/>
          <w:szCs w:val="32"/>
        </w:rPr>
        <w:t>(</w:t>
      </w:r>
      <w:r>
        <w:rPr>
          <w:rFonts w:hint="eastAsia" w:ascii="仿宋_GB2312" w:eastAsia="仿宋_GB2312"/>
          <w:sz w:val="32"/>
          <w:szCs w:val="32"/>
          <w:lang w:val="en-US" w:eastAsia="zh-CN"/>
        </w:rPr>
        <w:t>五</w:t>
      </w:r>
      <w:r>
        <w:rPr>
          <w:rFonts w:hint="eastAsia" w:ascii="仿宋_GB2312" w:eastAsia="仿宋_GB2312"/>
          <w:sz w:val="32"/>
          <w:szCs w:val="32"/>
        </w:rPr>
        <w:t>）</w:t>
      </w:r>
      <w:r>
        <w:rPr>
          <w:rFonts w:hint="eastAsia" w:ascii="仿宋_GB2312" w:eastAsia="仿宋_GB2312"/>
          <w:b/>
          <w:bCs/>
          <w:snapToGrid w:val="0"/>
          <w:sz w:val="32"/>
          <w:szCs w:val="32"/>
        </w:rPr>
        <w:t>农村集体经济组织股权。</w:t>
      </w:r>
      <w:r>
        <w:rPr>
          <w:rFonts w:hint="eastAsia" w:ascii="仿宋_GB2312" w:eastAsia="仿宋_GB2312"/>
          <w:snapToGrid w:val="0"/>
          <w:sz w:val="32"/>
          <w:szCs w:val="32"/>
        </w:rPr>
        <w:t>即农村集体经济组织股权的权利人将其享有的农村集体经济组织股权以转让、赠与等方式流转给其他自然人、法人或其他组织。</w:t>
      </w:r>
    </w:p>
    <w:p>
      <w:pPr>
        <w:spacing w:line="560" w:lineRule="exact"/>
        <w:ind w:firstLine="645"/>
        <w:rPr>
          <w:rFonts w:ascii="仿宋_GB2312" w:eastAsia="仿宋_GB2312"/>
          <w:snapToGrid w:val="0"/>
          <w:sz w:val="32"/>
          <w:szCs w:val="32"/>
        </w:rPr>
      </w:pPr>
      <w:r>
        <w:rPr>
          <w:rFonts w:hint="eastAsia" w:ascii="仿宋_GB2312" w:eastAsia="仿宋_GB2312"/>
          <w:sz w:val="32"/>
          <w:szCs w:val="32"/>
        </w:rPr>
        <w:t>(</w:t>
      </w:r>
      <w:r>
        <w:rPr>
          <w:rFonts w:hint="eastAsia" w:ascii="仿宋_GB2312" w:eastAsia="仿宋_GB2312"/>
          <w:sz w:val="32"/>
          <w:szCs w:val="32"/>
          <w:lang w:val="en-US" w:eastAsia="zh-CN"/>
        </w:rPr>
        <w:t>六</w:t>
      </w:r>
      <w:r>
        <w:rPr>
          <w:rFonts w:hint="eastAsia" w:ascii="仿宋_GB2312" w:eastAsia="仿宋_GB2312"/>
          <w:sz w:val="32"/>
          <w:szCs w:val="32"/>
        </w:rPr>
        <w:t>）</w:t>
      </w:r>
      <w:r>
        <w:rPr>
          <w:rFonts w:hint="eastAsia" w:ascii="仿宋_GB2312" w:eastAsia="仿宋_GB2312"/>
          <w:b/>
          <w:snapToGrid w:val="0"/>
          <w:sz w:val="32"/>
          <w:szCs w:val="32"/>
        </w:rPr>
        <w:t>农业生产设施设备。</w:t>
      </w:r>
      <w:r>
        <w:rPr>
          <w:rFonts w:hint="eastAsia" w:ascii="仿宋_GB2312" w:eastAsia="仿宋_GB2312"/>
          <w:snapToGrid w:val="0"/>
          <w:sz w:val="32"/>
          <w:szCs w:val="32"/>
        </w:rPr>
        <w:t>是指农户、农民合作组织、农村集体和涉农企业等拥有的农业生产设施设备，可以采取转让、租赁、拍卖等方式流转交易。</w:t>
      </w:r>
    </w:p>
    <w:p>
      <w:pPr>
        <w:spacing w:line="560" w:lineRule="exact"/>
        <w:ind w:firstLine="640"/>
        <w:rPr>
          <w:rFonts w:ascii="仿宋_GB2312" w:eastAsia="仿宋_GB2312"/>
          <w:snapToGrid w:val="0"/>
          <w:sz w:val="32"/>
          <w:szCs w:val="32"/>
        </w:rPr>
      </w:pPr>
      <w:r>
        <w:rPr>
          <w:rFonts w:hint="eastAsia" w:ascii="仿宋_GB2312" w:eastAsia="仿宋_GB2312"/>
          <w:sz w:val="32"/>
          <w:szCs w:val="32"/>
        </w:rPr>
        <w:t>(</w:t>
      </w:r>
      <w:r>
        <w:rPr>
          <w:rFonts w:hint="eastAsia" w:ascii="仿宋_GB2312" w:eastAsia="仿宋_GB2312"/>
          <w:sz w:val="32"/>
          <w:szCs w:val="32"/>
          <w:lang w:val="en-US" w:eastAsia="zh-CN"/>
        </w:rPr>
        <w:t>七</w:t>
      </w:r>
      <w:r>
        <w:rPr>
          <w:rFonts w:hint="eastAsia" w:ascii="仿宋_GB2312" w:eastAsia="仿宋_GB2312"/>
          <w:sz w:val="32"/>
          <w:szCs w:val="32"/>
        </w:rPr>
        <w:t>）</w:t>
      </w:r>
      <w:r>
        <w:rPr>
          <w:rFonts w:hint="eastAsia" w:ascii="仿宋_GB2312" w:eastAsia="仿宋_GB2312"/>
          <w:b/>
          <w:snapToGrid w:val="0"/>
          <w:sz w:val="32"/>
          <w:szCs w:val="32"/>
        </w:rPr>
        <w:t>农业类知识产权。</w:t>
      </w:r>
      <w:r>
        <w:rPr>
          <w:rFonts w:hint="eastAsia" w:ascii="仿宋_GB2312" w:eastAsia="仿宋_GB2312"/>
          <w:snapToGrid w:val="0"/>
          <w:sz w:val="32"/>
          <w:szCs w:val="32"/>
        </w:rPr>
        <w:t>主要包括涉农专利、商标、版权、植物新品种权、畜禽新品种权、地理标志、地理标志产品保护和经省级认定的农业科技成果等，可以采取转让、许可使用、出租、入股等方式流转交易。</w:t>
      </w:r>
    </w:p>
    <w:p>
      <w:pPr>
        <w:spacing w:line="560" w:lineRule="exact"/>
        <w:ind w:firstLine="640"/>
        <w:rPr>
          <w:rFonts w:ascii="仿宋_GB2312" w:eastAsia="仿宋_GB2312"/>
          <w:snapToGrid w:val="0"/>
          <w:sz w:val="32"/>
          <w:szCs w:val="32"/>
        </w:rPr>
      </w:pPr>
      <w:r>
        <w:rPr>
          <w:rFonts w:hint="eastAsia" w:ascii="仿宋_GB2312" w:eastAsia="仿宋_GB2312"/>
          <w:sz w:val="32"/>
          <w:szCs w:val="32"/>
        </w:rPr>
        <w:t>(</w:t>
      </w:r>
      <w:r>
        <w:rPr>
          <w:rFonts w:hint="eastAsia" w:ascii="仿宋_GB2312" w:eastAsia="仿宋_GB2312"/>
          <w:sz w:val="32"/>
          <w:szCs w:val="32"/>
          <w:lang w:val="en-US" w:eastAsia="zh-CN"/>
        </w:rPr>
        <w:t>八</w:t>
      </w:r>
      <w:r>
        <w:rPr>
          <w:rFonts w:hint="eastAsia" w:ascii="仿宋_GB2312" w:eastAsia="仿宋_GB2312"/>
          <w:sz w:val="32"/>
          <w:szCs w:val="32"/>
        </w:rPr>
        <w:t>）</w:t>
      </w:r>
      <w:r>
        <w:rPr>
          <w:rFonts w:hint="eastAsia" w:ascii="仿宋_GB2312" w:eastAsia="仿宋_GB2312"/>
          <w:b/>
          <w:snapToGrid w:val="0"/>
          <w:sz w:val="32"/>
          <w:szCs w:val="32"/>
        </w:rPr>
        <w:t>农村集体经营性建设用地使用权。</w:t>
      </w:r>
      <w:r>
        <w:rPr>
          <w:rFonts w:hint="eastAsia" w:hAnsi="仿宋_GB2312" w:eastAsia="仿宋_GB2312"/>
          <w:sz w:val="32"/>
          <w:szCs w:val="32"/>
        </w:rPr>
        <w:t>即农村集体经营性建设用地的使用权。可以按照规定出让、出租、作价出资（入股）以及转让、转租和抵押。除按照规定可以采取协议方式交易的外，应当采取招标、拍卖、挂牌方式进行公开入市交易。</w:t>
      </w:r>
    </w:p>
    <w:p>
      <w:pPr>
        <w:spacing w:line="560" w:lineRule="exact"/>
        <w:ind w:firstLine="641"/>
        <w:rPr>
          <w:rFonts w:hAns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九</w:t>
      </w:r>
      <w:r>
        <w:rPr>
          <w:rFonts w:hint="eastAsia" w:ascii="仿宋_GB2312" w:eastAsia="仿宋_GB2312"/>
          <w:sz w:val="32"/>
          <w:szCs w:val="32"/>
        </w:rPr>
        <w:t>）</w:t>
      </w:r>
      <w:r>
        <w:rPr>
          <w:rFonts w:hint="eastAsia" w:ascii="仿宋_GB2312" w:eastAsia="仿宋_GB2312"/>
          <w:b/>
          <w:snapToGrid w:val="0"/>
          <w:sz w:val="32"/>
          <w:szCs w:val="32"/>
        </w:rPr>
        <w:t>农村宅基地使用权。</w:t>
      </w:r>
      <w:r>
        <w:rPr>
          <w:rFonts w:hint="eastAsia" w:hAnsi="仿宋_GB2312" w:eastAsia="仿宋_GB2312"/>
          <w:sz w:val="32"/>
          <w:szCs w:val="32"/>
        </w:rPr>
        <w:t>即村民多余宅基地上的房屋所有权的流转交易。农村村民由于买卖住房转移集体土地使用权的，买方必须是本集体经济组织成员、符合申请宅基地条件。</w:t>
      </w:r>
    </w:p>
    <w:p>
      <w:pPr>
        <w:spacing w:line="560" w:lineRule="exact"/>
        <w:ind w:firstLine="641"/>
        <w:rPr>
          <w:rFonts w:ascii="仿宋_GB2312" w:eastAsia="仿宋_GB2312"/>
          <w:snapToGrid w:val="0"/>
          <w:sz w:val="32"/>
          <w:szCs w:val="32"/>
        </w:rPr>
      </w:pPr>
      <w:r>
        <w:rPr>
          <w:rFonts w:hint="eastAsia" w:ascii="仿宋_GB2312" w:eastAsia="仿宋_GB2312"/>
          <w:sz w:val="32"/>
          <w:szCs w:val="32"/>
        </w:rPr>
        <w:t>(</w:t>
      </w:r>
      <w:r>
        <w:rPr>
          <w:rFonts w:hint="eastAsia" w:ascii="仿宋_GB2312" w:eastAsia="仿宋_GB2312"/>
          <w:sz w:val="32"/>
          <w:szCs w:val="32"/>
          <w:lang w:val="en-US" w:eastAsia="zh-CN"/>
        </w:rPr>
        <w:t>十</w:t>
      </w:r>
      <w:r>
        <w:rPr>
          <w:rFonts w:hint="eastAsia" w:ascii="仿宋_GB2312" w:eastAsia="仿宋_GB2312"/>
          <w:sz w:val="32"/>
          <w:szCs w:val="32"/>
        </w:rPr>
        <w:t>）</w:t>
      </w:r>
      <w:r>
        <w:rPr>
          <w:rFonts w:hint="eastAsia" w:ascii="仿宋_GB2312" w:eastAsia="仿宋_GB2312"/>
          <w:b/>
          <w:snapToGrid w:val="0"/>
          <w:sz w:val="32"/>
          <w:szCs w:val="32"/>
        </w:rPr>
        <w:t>农民住房财产权。</w:t>
      </w:r>
      <w:r>
        <w:rPr>
          <w:rFonts w:hint="eastAsia" w:ascii="仿宋_GB2312" w:eastAsia="仿宋_GB2312"/>
          <w:snapToGrid w:val="0"/>
          <w:sz w:val="32"/>
          <w:szCs w:val="32"/>
        </w:rPr>
        <w:t>即农民依法获得的宅基地上的住房的所有权和处置权。包括：继承权、租赁权、针对本村村民的转让、租赁、抵押和出售权。</w:t>
      </w:r>
    </w:p>
    <w:p>
      <w:pPr>
        <w:spacing w:line="560" w:lineRule="exact"/>
        <w:ind w:firstLine="641"/>
        <w:rPr>
          <w:rFonts w:ascii="仿宋_GB2312" w:eastAsia="仿宋_GB2312"/>
          <w:snapToGrid w:val="0"/>
          <w:sz w:val="32"/>
          <w:szCs w:val="32"/>
        </w:rPr>
      </w:pPr>
      <w:r>
        <w:rPr>
          <w:rFonts w:hint="eastAsia" w:ascii="仿宋_GB2312" w:eastAsia="仿宋_GB2312"/>
          <w:sz w:val="32"/>
          <w:szCs w:val="32"/>
        </w:rPr>
        <w:t>(</w:t>
      </w:r>
      <w:r>
        <w:rPr>
          <w:rFonts w:hint="eastAsia" w:ascii="仿宋_GB2312" w:eastAsia="仿宋_GB2312"/>
          <w:sz w:val="32"/>
          <w:szCs w:val="32"/>
          <w:lang w:val="en-US" w:eastAsia="zh-CN"/>
        </w:rPr>
        <w:t>十一</w:t>
      </w:r>
      <w:r>
        <w:rPr>
          <w:rFonts w:hint="eastAsia" w:ascii="仿宋_GB2312" w:eastAsia="仿宋_GB2312"/>
          <w:sz w:val="32"/>
          <w:szCs w:val="32"/>
        </w:rPr>
        <w:t>）</w:t>
      </w:r>
      <w:r>
        <w:rPr>
          <w:rFonts w:hint="eastAsia" w:ascii="仿宋_GB2312" w:eastAsia="仿宋_GB2312"/>
          <w:b/>
          <w:snapToGrid w:val="0"/>
          <w:sz w:val="32"/>
          <w:szCs w:val="32"/>
        </w:rPr>
        <w:t>农村生物资产。</w:t>
      </w:r>
      <w:r>
        <w:rPr>
          <w:rFonts w:hint="eastAsia" w:ascii="仿宋_GB2312" w:eastAsia="仿宋_GB2312"/>
          <w:snapToGrid w:val="0"/>
          <w:sz w:val="32"/>
          <w:szCs w:val="32"/>
        </w:rPr>
        <w:t>即生长中的大田作物、蔬菜、用材林、存栏待售的牲畜等消耗性生物资产和经济林、薪炭林、产畜、役畜等生产性生物资产。</w:t>
      </w:r>
    </w:p>
    <w:p>
      <w:pPr>
        <w:spacing w:line="560" w:lineRule="exact"/>
        <w:ind w:firstLine="641"/>
        <w:rPr>
          <w:rFonts w:ascii="仿宋_GB2312" w:eastAsia="仿宋_GB2312"/>
          <w:snapToGrid w:val="0"/>
          <w:sz w:val="32"/>
          <w:szCs w:val="32"/>
        </w:rPr>
      </w:pPr>
      <w:r>
        <w:rPr>
          <w:rFonts w:hint="eastAsia" w:ascii="仿宋_GB2312" w:eastAsia="仿宋_GB2312"/>
          <w:sz w:val="32"/>
          <w:szCs w:val="32"/>
        </w:rPr>
        <w:t>(</w:t>
      </w:r>
      <w:r>
        <w:rPr>
          <w:rFonts w:hint="eastAsia" w:ascii="仿宋_GB2312" w:eastAsia="仿宋_GB2312"/>
          <w:sz w:val="32"/>
          <w:szCs w:val="32"/>
          <w:lang w:val="en-US" w:eastAsia="zh-CN"/>
        </w:rPr>
        <w:t>十二</w:t>
      </w:r>
      <w:r>
        <w:rPr>
          <w:rFonts w:hint="eastAsia" w:ascii="仿宋_GB2312" w:eastAsia="仿宋_GB2312"/>
          <w:sz w:val="32"/>
          <w:szCs w:val="32"/>
        </w:rPr>
        <w:t>）</w:t>
      </w:r>
      <w:r>
        <w:rPr>
          <w:rFonts w:hint="eastAsia" w:ascii="仿宋_GB2312" w:eastAsia="仿宋_GB2312"/>
          <w:b/>
          <w:bCs/>
          <w:snapToGrid w:val="0"/>
          <w:sz w:val="32"/>
          <w:szCs w:val="32"/>
        </w:rPr>
        <w:t>水</w:t>
      </w:r>
      <w:r>
        <w:rPr>
          <w:rFonts w:hint="eastAsia" w:ascii="仿宋_GB2312" w:eastAsia="仿宋_GB2312"/>
          <w:b/>
          <w:snapToGrid w:val="0"/>
          <w:sz w:val="32"/>
          <w:szCs w:val="32"/>
        </w:rPr>
        <w:t>权。</w:t>
      </w:r>
      <w:r>
        <w:rPr>
          <w:rFonts w:hint="eastAsia" w:ascii="仿宋_GB2312" w:eastAsia="仿宋_GB2312"/>
          <w:snapToGrid w:val="0"/>
          <w:sz w:val="32"/>
          <w:szCs w:val="32"/>
        </w:rPr>
        <w:t>即区域水资源使用权、取用水户水资源使用权。</w:t>
      </w:r>
    </w:p>
    <w:p>
      <w:pPr>
        <w:spacing w:line="560" w:lineRule="exact"/>
        <w:ind w:firstLine="641"/>
        <w:rPr>
          <w:rFonts w:ascii="仿宋_GB2312" w:eastAsia="仿宋_GB2312"/>
          <w:b/>
          <w:bCs/>
          <w:snapToGrid w:val="0"/>
          <w:sz w:val="32"/>
          <w:szCs w:val="32"/>
        </w:rPr>
      </w:pPr>
      <w:r>
        <w:rPr>
          <w:rFonts w:hint="eastAsia" w:ascii="仿宋_GB2312" w:eastAsia="仿宋_GB2312"/>
          <w:sz w:val="32"/>
          <w:szCs w:val="32"/>
        </w:rPr>
        <w:t>(</w:t>
      </w:r>
      <w:r>
        <w:rPr>
          <w:rFonts w:hint="eastAsia" w:ascii="仿宋_GB2312" w:eastAsia="仿宋_GB2312"/>
          <w:sz w:val="32"/>
          <w:szCs w:val="32"/>
          <w:lang w:val="en-US" w:eastAsia="zh-CN"/>
        </w:rPr>
        <w:t>十三</w:t>
      </w:r>
      <w:r>
        <w:rPr>
          <w:rFonts w:hint="eastAsia" w:ascii="仿宋_GB2312" w:eastAsia="仿宋_GB2312"/>
          <w:sz w:val="32"/>
          <w:szCs w:val="32"/>
        </w:rPr>
        <w:t>）</w:t>
      </w:r>
      <w:r>
        <w:rPr>
          <w:rFonts w:hint="eastAsia" w:ascii="仿宋_GB2312" w:eastAsia="仿宋_GB2312"/>
          <w:b/>
          <w:bCs/>
          <w:snapToGrid w:val="0"/>
          <w:sz w:val="32"/>
          <w:szCs w:val="32"/>
        </w:rPr>
        <w:t>农村产权质（抵）押、融资服务。</w:t>
      </w:r>
    </w:p>
    <w:p>
      <w:pPr>
        <w:spacing w:line="560" w:lineRule="exact"/>
        <w:ind w:firstLine="641"/>
      </w:pPr>
      <w:r>
        <w:rPr>
          <w:rFonts w:hint="eastAsia" w:ascii="仿宋_GB2312" w:eastAsia="仿宋_GB2312"/>
          <w:sz w:val="32"/>
          <w:szCs w:val="32"/>
        </w:rPr>
        <w:t>(</w:t>
      </w:r>
      <w:r>
        <w:rPr>
          <w:rFonts w:hint="eastAsia" w:ascii="仿宋_GB2312" w:eastAsia="仿宋_GB2312"/>
          <w:sz w:val="32"/>
          <w:szCs w:val="32"/>
          <w:lang w:val="en-US" w:eastAsia="zh-CN"/>
        </w:rPr>
        <w:t>十四</w:t>
      </w:r>
      <w:r>
        <w:rPr>
          <w:rFonts w:hint="eastAsia" w:ascii="仿宋_GB2312" w:eastAsia="仿宋_GB2312"/>
          <w:sz w:val="32"/>
          <w:szCs w:val="32"/>
        </w:rPr>
        <w:t>）</w:t>
      </w:r>
      <w:r>
        <w:rPr>
          <w:rFonts w:hint="eastAsia" w:ascii="仿宋_GB2312" w:eastAsia="仿宋_GB2312"/>
          <w:b/>
          <w:bCs/>
          <w:snapToGrid w:val="0"/>
          <w:sz w:val="32"/>
          <w:szCs w:val="32"/>
        </w:rPr>
        <w:t>农村产权交易方面的政策及市场咨询。</w:t>
      </w:r>
    </w:p>
    <w:p>
      <w:pPr>
        <w:spacing w:line="560" w:lineRule="exact"/>
        <w:ind w:firstLine="641"/>
        <w:rPr>
          <w:rFonts w:ascii="仿宋_GB2312" w:eastAsia="仿宋_GB2312"/>
          <w:snapToGrid w:val="0"/>
          <w:sz w:val="32"/>
          <w:szCs w:val="32"/>
        </w:rPr>
      </w:pPr>
      <w:r>
        <w:rPr>
          <w:rFonts w:hint="eastAsia" w:ascii="仿宋_GB2312" w:eastAsia="仿宋_GB2312"/>
          <w:sz w:val="32"/>
          <w:szCs w:val="32"/>
        </w:rPr>
        <w:t>(</w:t>
      </w:r>
      <w:r>
        <w:rPr>
          <w:rFonts w:hint="eastAsia" w:ascii="仿宋_GB2312" w:eastAsia="仿宋_GB2312"/>
          <w:sz w:val="32"/>
          <w:szCs w:val="32"/>
          <w:lang w:val="en-US" w:eastAsia="zh-CN"/>
        </w:rPr>
        <w:t>十五</w:t>
      </w:r>
      <w:r>
        <w:rPr>
          <w:rFonts w:hint="eastAsia" w:ascii="仿宋_GB2312" w:eastAsia="仿宋_GB2312"/>
          <w:sz w:val="32"/>
          <w:szCs w:val="32"/>
        </w:rPr>
        <w:t>）</w:t>
      </w:r>
      <w:r>
        <w:rPr>
          <w:rFonts w:hint="eastAsia" w:ascii="仿宋_GB2312" w:eastAsia="仿宋_GB2312"/>
          <w:b/>
          <w:snapToGrid w:val="0"/>
          <w:sz w:val="32"/>
          <w:szCs w:val="32"/>
        </w:rPr>
        <w:t>其他。</w:t>
      </w:r>
      <w:r>
        <w:rPr>
          <w:rFonts w:hint="eastAsia" w:ascii="仿宋_GB2312" w:eastAsia="仿宋_GB2312"/>
          <w:snapToGrid w:val="0"/>
          <w:sz w:val="32"/>
          <w:szCs w:val="32"/>
        </w:rPr>
        <w:t>农村建设项目招标、产业项目招商和转让等。</w:t>
      </w:r>
    </w:p>
    <w:bookmarkEnd w:id="1"/>
    <w:p>
      <w:pPr>
        <w:bidi w:val="0"/>
        <w:jc w:val="center"/>
        <w:rPr>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隶书简体">
    <w:altName w:val="宋体"/>
    <w:panose1 w:val="02010601030101010101"/>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58D0D8"/>
    <w:multiLevelType w:val="singleLevel"/>
    <w:tmpl w:val="6958D0D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wM2U4MWMyMWFkZWQ4YzZjNmFkNzYyOGMxMzgzYWQifQ=="/>
  </w:docVars>
  <w:rsids>
    <w:rsidRoot w:val="00000000"/>
    <w:rsid w:val="08546D3D"/>
    <w:rsid w:val="13B8637F"/>
    <w:rsid w:val="18A31435"/>
    <w:rsid w:val="1DBC75B4"/>
    <w:rsid w:val="281213CE"/>
    <w:rsid w:val="2BF24751"/>
    <w:rsid w:val="2C7100AB"/>
    <w:rsid w:val="368820B8"/>
    <w:rsid w:val="399F22B1"/>
    <w:rsid w:val="3FBD9AAE"/>
    <w:rsid w:val="45D32EE9"/>
    <w:rsid w:val="51C83633"/>
    <w:rsid w:val="54432A30"/>
    <w:rsid w:val="5D70094D"/>
    <w:rsid w:val="67E729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table" w:styleId="4">
    <w:name w:val="Table Grid"/>
    <w:basedOn w:val="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2302</Words>
  <Characters>2338</Characters>
  <Lines>0</Lines>
  <Paragraphs>0</Paragraphs>
  <TotalTime>3</TotalTime>
  <ScaleCrop>false</ScaleCrop>
  <LinksUpToDate>false</LinksUpToDate>
  <CharactersWithSpaces>2483</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佳佳</dc:creator>
  <cp:lastModifiedBy>Closer</cp:lastModifiedBy>
  <dcterms:modified xsi:type="dcterms:W3CDTF">2026-02-10T08:53:17Z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A1A84C6EEADA482D9AB6EB989463D0C1_13</vt:lpwstr>
  </property>
  <property fmtid="{D5CDD505-2E9C-101B-9397-08002B2CF9AE}" pid="4" name="KSOTemplateDocerSaveRecord">
    <vt:lpwstr>eyJoZGlkIjoiYWQwOWZlYzhjNjhjYmFjNDFhY2E3YzUwZDJlMjFkMmYiLCJ1c2VySWQiOiIxMzQ2ODg0NTAxIn0=</vt:lpwstr>
  </property>
</Properties>
</file>