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kinsoku/>
        <w:wordWrap/>
        <w:overflowPunct/>
        <w:topLinePunct w:val="0"/>
        <w:autoSpaceDE/>
        <w:autoSpaceDN/>
        <w:bidi w:val="0"/>
        <w:jc w:val="center"/>
        <w:rPr>
          <w:rFonts w:ascii="Times New Roman" w:hAnsi="Times New Roman"/>
          <w:spacing w:val="0"/>
        </w:rPr>
      </w:pPr>
      <w:r>
        <w:rPr>
          <w:rFonts w:ascii="Times New Roman" w:hAnsi="Times New Roman"/>
          <w:spacing w:val="0"/>
        </w:rPr>
        <w:pict>
          <v:shape id="_x0000_i1025" o:spt="136" type="#_x0000_t136" style="height:60pt;width:444.75pt;" fillcolor="#FF0000" filled="t" stroked="t" coordsize="21600,21600" adj="10800">
            <v:path/>
            <v:fill on="t" color2="#FFFFFF" focussize="0,0"/>
            <v:stroke color="#FF0000"/>
            <v:imagedata o:title=""/>
            <o:lock v:ext="edit" aspectratio="f"/>
            <v:textpath on="t" fitshape="t" fitpath="t" trim="t" xscale="f" string="新余市渝水区人民政府文件" style="font-family:方正小标宋简体;font-size:18pt;v-text-align:center;"/>
            <w10:wrap type="none"/>
            <w10:anchorlock/>
          </v:shape>
        </w:pict>
      </w:r>
    </w:p>
    <w:p>
      <w:pPr>
        <w:keepNext w:val="0"/>
        <w:keepLines w:val="0"/>
        <w:pageBreakBefore w:val="0"/>
        <w:kinsoku/>
        <w:wordWrap/>
        <w:overflowPunct/>
        <w:topLinePunct w:val="0"/>
        <w:autoSpaceDE/>
        <w:autoSpaceDN/>
        <w:bidi w:val="0"/>
        <w:spacing w:line="600" w:lineRule="exact"/>
        <w:rPr>
          <w:rFonts w:ascii="Times New Roman" w:hAnsi="Times New Roman"/>
          <w:spacing w:val="0"/>
          <w:sz w:val="21"/>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渝府发〔2016〕38号</w:t>
      </w:r>
    </w:p>
    <w:p>
      <w:pPr>
        <w:keepNext w:val="0"/>
        <w:keepLines w:val="0"/>
        <w:pageBreakBefore w:val="0"/>
        <w:kinsoku/>
        <w:wordWrap/>
        <w:overflowPunct/>
        <w:topLinePunct w:val="0"/>
        <w:autoSpaceDE/>
        <w:autoSpaceDN/>
        <w:bidi w:val="0"/>
        <w:rPr>
          <w:rFonts w:ascii="Times New Roman" w:hAnsi="Times New Roman" w:eastAsia="Times New Roman"/>
          <w:spacing w:val="0"/>
          <w:sz w:val="32"/>
          <w:szCs w:val="32"/>
        </w:rPr>
      </w:pPr>
      <w:r>
        <w:rPr>
          <w:rFonts w:ascii="Times New Roman" w:hAnsi="Times New Roman"/>
          <w:spacing w:val="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152400</wp:posOffset>
                </wp:positionV>
                <wp:extent cx="5689600" cy="0"/>
                <wp:effectExtent l="0" t="10795" r="6350" b="17780"/>
                <wp:wrapNone/>
                <wp:docPr id="1" name="直接连接符 1"/>
                <wp:cNvGraphicFramePr/>
                <a:graphic xmlns:a="http://schemas.openxmlformats.org/drawingml/2006/main">
                  <a:graphicData uri="http://schemas.microsoft.com/office/word/2010/wordprocessingShape">
                    <wps:wsp>
                      <wps:cNvCnPr/>
                      <wps:spPr>
                        <a:xfrm>
                          <a:off x="0" y="0"/>
                          <a:ext cx="56896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2pt;height:0pt;width:448pt;z-index:251660288;mso-width-relative:page;mso-height-relative:page;" filled="f" stroked="t" coordsize="21600,21600" o:gfxdata="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h/r+TVAAAABgEAAA8AAAAAAAAAAQAgAAAAIgAAAGRycy9kb3ducmV2LnhtbFBLAQIU&#10;ABQAAAAIAIdO4kCN4zEq9gEAAOUDAAAOAAAAAAAAAAEAIAAAACQBAABkcnMvZTJvRG9jLnhtbFBL&#10;BQYAAAAABgAGAFkBAACM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r>
        <w:rPr>
          <w:rFonts w:hint="eastAsia" w:ascii="Times New Roman" w:hAnsi="Times New Roman" w:eastAsia="方正小标宋简体" w:cs="方正小标宋简体"/>
          <w:snapToGrid/>
          <w:spacing w:val="0"/>
          <w:kern w:val="2"/>
          <w:sz w:val="44"/>
          <w:szCs w:val="44"/>
          <w:lang w:eastAsia="zh-CN"/>
        </w:rPr>
        <w:t>渝水区人民政府关于印发在民生领域开展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r>
        <w:rPr>
          <w:rFonts w:hint="eastAsia" w:ascii="Times New Roman" w:hAnsi="Times New Roman" w:eastAsia="方正小标宋简体" w:cs="方正小标宋简体"/>
          <w:snapToGrid/>
          <w:spacing w:val="0"/>
          <w:kern w:val="2"/>
          <w:sz w:val="44"/>
          <w:szCs w:val="44"/>
          <w:lang w:eastAsia="zh-CN"/>
        </w:rPr>
        <w:t>金融租赁服务的暂行规定的通知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right="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各乡（镇）人民政府、办事处、管委会，区政府各部门、区直各单位：</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经区九届人民政府第3次常务会议研究同意，现将《渝水区关于在民生领域开展金融租赁服务的暂行规定》印发给你们，请认真参照执行。</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drawing>
          <wp:anchor distT="0" distB="0" distL="0" distR="0" simplePos="0" relativeHeight="251659264" behindDoc="1" locked="0" layoutInCell="1" allowOverlap="1">
            <wp:simplePos x="0" y="0"/>
            <wp:positionH relativeFrom="column">
              <wp:posOffset>3399155</wp:posOffset>
            </wp:positionH>
            <wp:positionV relativeFrom="paragraph">
              <wp:posOffset>76835</wp:posOffset>
            </wp:positionV>
            <wp:extent cx="1654810" cy="165481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1655064" cy="1655064"/>
                    </a:xfrm>
                    <a:prstGeom prst="rect">
                      <a:avLst/>
                    </a:prstGeom>
                  </pic:spPr>
                </pic:pic>
              </a:graphicData>
            </a:graphic>
          </wp:anchor>
        </w:drawing>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left="0" w:right="0" w:firstLine="5440" w:firstLineChars="17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渝水区人民政府</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60" w:lineRule="exact"/>
        <w:ind w:left="0" w:right="0" w:firstLine="5280" w:firstLineChars="165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2016年12月13日</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sectPr>
          <w:headerReference r:id="rId5" w:type="default"/>
          <w:footerReference r:id="rId6" w:type="default"/>
          <w:pgSz w:w="11906" w:h="16839"/>
          <w:pgMar w:top="2098" w:right="1531" w:bottom="1984" w:left="1531" w:header="0" w:footer="1366" w:gutter="0"/>
          <w:paperSrc/>
          <w:pgNumType w:fmt="decimal"/>
          <w:cols w:space="0" w:num="1"/>
          <w:rtlGutter w:val="0"/>
          <w:docGrid w:linePitch="0" w:charSpace="0"/>
        </w:sect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r>
        <w:rPr>
          <w:rFonts w:hint="eastAsia" w:ascii="Times New Roman" w:hAnsi="Times New Roman" w:eastAsia="方正小标宋简体" w:cs="方正小标宋简体"/>
          <w:snapToGrid/>
          <w:spacing w:val="0"/>
          <w:kern w:val="2"/>
          <w:sz w:val="44"/>
          <w:szCs w:val="44"/>
          <w:lang w:eastAsia="zh-CN"/>
        </w:rPr>
        <w:t>渝水区关于在民生领域开展金融租赁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r>
        <w:rPr>
          <w:rFonts w:hint="eastAsia" w:ascii="Times New Roman" w:hAnsi="Times New Roman" w:eastAsia="方正小标宋简体" w:cs="方正小标宋简体"/>
          <w:snapToGrid/>
          <w:spacing w:val="0"/>
          <w:kern w:val="2"/>
          <w:sz w:val="44"/>
          <w:szCs w:val="44"/>
          <w:lang w:eastAsia="zh-CN"/>
        </w:rPr>
        <w:t>服务的暂行规定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napToGrid/>
          <w:spacing w:val="0"/>
          <w:kern w:val="2"/>
          <w:sz w:val="44"/>
          <w:szCs w:val="44"/>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第一条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为加大对教育、文化、医疗卫生等民生领域的经费投入力度，改善教育文化卫生等民生领域的服务条件，提高服务水平，满足群众需求，现根据国务院办公厅印发《关于促进金融租赁行业健康发展的指导意见》（国办发〔2015〕69号）中“鼓励各级人民政府在提供公共服务、推进基础设施建设和运营中购买金融租赁服务”的精神，结合本区实际情况，特制定此规定。</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第二条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规定的金融租赁服务仅限于教育、文化、医疗卫生等民生领域。金融租赁服务主体主要是为了解决根据国家政策要求或实际需求又必须添置或更新的各种教育、文化、卫生等民生领域的基础设备购买资金不足问题。</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第三条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融资必须坚持公开、公平、公正的原则，由区财政、发改、审计、监察等政府部门和政府采购中心全程参与，监督指导。</w:t>
      </w:r>
    </w:p>
    <w:p>
      <w:pPr>
        <w:pStyle w:val="3"/>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第四条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需要开展金融租赁的单位或部门，原则上由对应的行政主管部门向区政府进行申报，申报内容包括金融租赁主体、项目、方式、额度、期限、租赁成本、支付租金来源、担保方式等。经区政府研究同意后方可实施。</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第五条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金融租赁主体原则上为经区政府批准或授权的民生领域事业单位或下属单位。</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第六条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金融租赁必须遵循“实用够用，综合平衡”的原则，合理确定金融租赁额度。原则上金融租赁额度各单位每年不超过3000万元。</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第七条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金融租赁原则上使用中长期限5年（含）以上，10年以下，租金按年度分期支付。</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第八条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通过金融租赁购置设备支付的租金包括租赁成本即设备货款及双方一致同意计入租赁成本的相关费用之和与基于租赁成本和租赁利率所计算的利息。</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第九条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租赁利率不超过中国人民银行公布的同期基准贷款利率基础上上浮20%，也可通过谈判协商为浮动利率。</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通过金融租赁购置的基础设备，须按照区政府集中招标采购程序和要求进行采购。</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第十一条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租赁期限内，因设备购置单位保管不善导致设备受损或设备购置单位擅自处分设备的，由区政府按照责任大小处罚相关单位及有关责任人。</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第十二条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区财政每年将用于民生领域的金融租赁服务的租金列入财政预算，并对符合相关法律规定和担保条件的《金融租赁合同》提供担保。</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sectPr>
          <w:headerReference r:id="rId7" w:type="default"/>
          <w:pgSz w:w="11906" w:h="16839"/>
          <w:pgMar w:top="2098" w:right="1531" w:bottom="1984" w:left="1531" w:header="0" w:footer="1366" w:gutter="0"/>
          <w:paperSrc/>
          <w:pgNumType w:fmt="decimal"/>
          <w:cols w:space="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第十三条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所有开展金融租赁服务的部门或单位必须签订《金融租赁合同》，且在签订前必须报区政府审批。</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第十四条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本规定由区人民政府负责解释。</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黑体" w:hAnsi="黑体" w:eastAsia="黑体" w:cs="黑体"/>
          <w:spacing w:val="0"/>
          <w:position w:val="0"/>
          <w:sz w:val="32"/>
          <w:szCs w:val="32"/>
        </w:rPr>
        <w:t>第十五条</w:t>
      </w:r>
      <w:r>
        <w:rPr>
          <w:rFonts w:hint="eastAsia" w:ascii="黑体" w:hAnsi="黑体" w:eastAsia="黑体" w:cs="黑体"/>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本规定自发文之日起实施。</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position w:val="0"/>
          <w:sz w:val="32"/>
          <w:szCs w:val="32"/>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2"/>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p>
      <w:pPr>
        <w:keepNext w:val="0"/>
        <w:keepLines w:val="0"/>
        <w:pageBreakBefore w:val="0"/>
        <w:kinsoku/>
        <w:wordWrap/>
        <w:overflowPunct/>
        <w:topLinePunct w:val="0"/>
        <w:autoSpaceDE/>
        <w:autoSpaceDN/>
        <w:bidi w:val="0"/>
        <w:spacing w:before="1"/>
        <w:rPr>
          <w:spacing w:val="0"/>
        </w:rPr>
      </w:pPr>
    </w:p>
    <w:tbl>
      <w:tblPr>
        <w:tblStyle w:val="9"/>
        <w:tblW w:w="9003"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003"/>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5" w:hRule="atLeast"/>
        </w:trPr>
        <w:tc>
          <w:tcPr>
            <w:tcW w:w="9003" w:type="dxa"/>
            <w:tcBorders>
              <w:top w:val="single" w:color="000000" w:sz="6" w:space="0"/>
              <w:bottom w:val="single" w:color="000000" w:sz="6" w:space="0"/>
            </w:tcBorders>
            <w:vAlign w:val="top"/>
          </w:tcPr>
          <w:p>
            <w:pPr>
              <w:pStyle w:val="10"/>
              <w:keepNext w:val="0"/>
              <w:keepLines w:val="0"/>
              <w:pageBreakBefore w:val="0"/>
              <w:widowControl/>
              <w:kinsoku/>
              <w:wordWrap/>
              <w:overflowPunct/>
              <w:topLinePunct w:val="0"/>
              <w:autoSpaceDE/>
              <w:autoSpaceDN/>
              <w:bidi w:val="0"/>
              <w:adjustRightInd w:val="0"/>
              <w:snapToGrid w:val="0"/>
              <w:spacing w:line="400" w:lineRule="exact"/>
              <w:ind w:left="0" w:firstLine="280" w:firstLineChars="100"/>
              <w:textAlignment w:val="baseline"/>
              <w:rPr>
                <w:rFonts w:hint="eastAsia" w:ascii="Times New Roman" w:hAnsi="Times New Roman" w:eastAsia="仿宋_GB2312" w:cs="仿宋_GB2312"/>
                <w:snapToGrid w:val="0"/>
                <w:color w:val="000000"/>
                <w:spacing w:val="0"/>
                <w:kern w:val="0"/>
                <w:position w:val="0"/>
                <w:sz w:val="28"/>
                <w:szCs w:val="28"/>
                <w:lang w:val="en-US" w:eastAsia="en-US" w:bidi="ar-SA"/>
              </w:rPr>
            </w:pPr>
            <w:r>
              <w:rPr>
                <w:rFonts w:hint="eastAsia" w:ascii="Times New Roman" w:hAnsi="Times New Roman" w:eastAsia="仿宋_GB2312" w:cs="仿宋_GB2312"/>
                <w:snapToGrid w:val="0"/>
                <w:color w:val="000000"/>
                <w:spacing w:val="0"/>
                <w:kern w:val="0"/>
                <w:position w:val="0"/>
                <w:sz w:val="28"/>
                <w:szCs w:val="28"/>
                <w:lang w:val="en-US" w:eastAsia="en-US" w:bidi="ar-SA"/>
              </w:rPr>
              <w:t>抄送：区委各部门，区委、人大、政协、纪委、人武部办公室。</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8" w:hRule="atLeast"/>
        </w:trPr>
        <w:tc>
          <w:tcPr>
            <w:tcW w:w="9003" w:type="dxa"/>
            <w:tcBorders>
              <w:top w:val="single" w:color="000000" w:sz="6" w:space="0"/>
              <w:bottom w:val="single" w:color="000000" w:sz="6" w:space="0"/>
            </w:tcBorders>
            <w:vAlign w:val="top"/>
          </w:tcPr>
          <w:p>
            <w:pPr>
              <w:pStyle w:val="10"/>
              <w:keepNext w:val="0"/>
              <w:keepLines w:val="0"/>
              <w:pageBreakBefore w:val="0"/>
              <w:widowControl/>
              <w:kinsoku/>
              <w:wordWrap/>
              <w:overflowPunct/>
              <w:topLinePunct w:val="0"/>
              <w:autoSpaceDE/>
              <w:autoSpaceDN/>
              <w:bidi w:val="0"/>
              <w:adjustRightInd w:val="0"/>
              <w:snapToGrid w:val="0"/>
              <w:spacing w:line="400" w:lineRule="exact"/>
              <w:ind w:left="0" w:firstLine="280" w:firstLineChars="100"/>
              <w:textAlignment w:val="baseline"/>
              <w:rPr>
                <w:rFonts w:hint="eastAsia" w:ascii="Times New Roman" w:hAnsi="Times New Roman" w:eastAsia="仿宋_GB2312" w:cs="仿宋_GB2312"/>
                <w:snapToGrid w:val="0"/>
                <w:color w:val="000000"/>
                <w:spacing w:val="0"/>
                <w:kern w:val="0"/>
                <w:position w:val="0"/>
                <w:sz w:val="28"/>
                <w:szCs w:val="28"/>
                <w:lang w:val="en-US" w:eastAsia="en-US" w:bidi="ar-SA"/>
              </w:rPr>
            </w:pPr>
            <w:r>
              <w:rPr>
                <w:rFonts w:hint="eastAsia" w:ascii="Times New Roman" w:hAnsi="Times New Roman" w:eastAsia="仿宋_GB2312" w:cs="仿宋_GB2312"/>
                <w:snapToGrid w:val="0"/>
                <w:color w:val="000000"/>
                <w:spacing w:val="0"/>
                <w:kern w:val="0"/>
                <w:position w:val="0"/>
                <w:sz w:val="28"/>
                <w:szCs w:val="28"/>
                <w:lang w:val="en-US" w:eastAsia="en-US" w:bidi="ar-SA"/>
              </w:rPr>
              <w:t>新余市渝水区人民政府办公室</w:t>
            </w:r>
            <w:r>
              <w:rPr>
                <w:rFonts w:hint="eastAsia" w:ascii="Times New Roman" w:hAnsi="Times New Roman" w:eastAsia="仿宋_GB2312" w:cs="仿宋_GB2312"/>
                <w:snapToGrid w:val="0"/>
                <w:color w:val="000000"/>
                <w:spacing w:val="0"/>
                <w:kern w:val="0"/>
                <w:position w:val="0"/>
                <w:sz w:val="28"/>
                <w:szCs w:val="28"/>
                <w:lang w:val="en-US" w:eastAsia="zh-CN" w:bidi="ar-SA"/>
              </w:rPr>
              <w:t xml:space="preserve">                           </w:t>
            </w:r>
            <w:r>
              <w:rPr>
                <w:rFonts w:hint="eastAsia" w:ascii="Times New Roman" w:hAnsi="Times New Roman" w:eastAsia="仿宋_GB2312" w:cs="仿宋_GB2312"/>
                <w:snapToGrid w:val="0"/>
                <w:color w:val="000000"/>
                <w:spacing w:val="0"/>
                <w:kern w:val="0"/>
                <w:position w:val="0"/>
                <w:sz w:val="28"/>
                <w:szCs w:val="28"/>
                <w:lang w:val="en-US" w:eastAsia="en-US" w:bidi="ar-SA"/>
              </w:rPr>
              <w:t>2016年12月13日印发</w:t>
            </w:r>
          </w:p>
        </w:tc>
      </w:tr>
    </w:tbl>
    <w:p>
      <w:pPr>
        <w:pStyle w:val="3"/>
        <w:keepNext w:val="0"/>
        <w:keepLines w:val="0"/>
        <w:pageBreakBefore w:val="0"/>
        <w:kinsoku/>
        <w:wordWrap/>
        <w:overflowPunct/>
        <w:topLinePunct w:val="0"/>
        <w:autoSpaceDE/>
        <w:autoSpaceDN/>
        <w:bidi w:val="0"/>
        <w:rPr>
          <w:spacing w:val="0"/>
        </w:rPr>
      </w:pPr>
    </w:p>
    <w:sectPr>
      <w:pgSz w:w="11906" w:h="16839"/>
      <w:pgMar w:top="2098" w:right="1531" w:bottom="1984" w:left="1531" w:header="0" w:footer="1366" w:gutter="0"/>
      <w:paperSrc/>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ntique Olive">
    <w:panose1 w:val="020B060302020403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TNhMWQxNGM3NTc3N2NmMTc3ODQ2NGVkNTA2NTllNDMifQ=="/>
  </w:docVars>
  <w:rsids>
    <w:rsidRoot w:val="00000000"/>
    <w:rsid w:val="1FB00E38"/>
    <w:rsid w:val="7A6114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r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ody Text Indent"/>
    <w:basedOn w:val="1"/>
    <w:next w:val="2"/>
    <w:semiHidden/>
    <w:qFormat/>
    <w:uiPriority w:val="99"/>
    <w:pPr>
      <w:spacing w:after="120"/>
      <w:ind w:left="420" w:leftChars="200"/>
    </w:pPr>
  </w:style>
  <w:style w:type="paragraph" w:styleId="5">
    <w:name w:val="footer"/>
    <w:basedOn w:val="1"/>
    <w:uiPriority w:val="0"/>
    <w:pPr>
      <w:tabs>
        <w:tab w:val="center" w:pos="4153"/>
        <w:tab w:val="right" w:pos="8306"/>
      </w:tabs>
      <w:snapToGrid w:val="0"/>
      <w:jc w:val="left"/>
    </w:pPr>
    <w:rPr>
      <w:sz w:val="18"/>
    </w:rPr>
  </w:style>
  <w:style w:type="paragraph" w:styleId="6">
    <w:name w:val="Body Text First Indent 2"/>
    <w:basedOn w:val="4"/>
    <w:next w:val="1"/>
    <w:qFormat/>
    <w:uiPriority w:val="99"/>
    <w:pPr>
      <w:spacing w:after="0"/>
      <w:ind w:left="0" w:leftChars="0"/>
    </w:p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仿宋" w:hAnsi="仿宋" w:eastAsia="仿宋" w:cs="仿宋"/>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1144</Words>
  <Characters>1168</Characters>
  <TotalTime>5</TotalTime>
  <ScaleCrop>false</ScaleCrop>
  <LinksUpToDate>false</LinksUpToDate>
  <CharactersWithSpaces>1168</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2023-08-16T10:51:00Z</dcterms:created>
  <dc:creator>系统管理员04</dc:creator>
  <cp:lastModifiedBy>602186613</cp:lastModifiedBy>
  <dcterms:modified xsi:type="dcterms:W3CDTF">2023-10-24T02:50:07Z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2023-10-23T17:42:51Z</vt:filetime>
  </property>
  <property fmtid="{D5CDD505-2E9C-101B-9397-08002B2CF9AE}" pid="4" name="KSOProductBuildVer">
    <vt:lpwstr>2052-11.1.0.14309</vt:lpwstr>
  </property>
  <property fmtid="{D5CDD505-2E9C-101B-9397-08002B2CF9AE}" pid="5" name="ICV">
    <vt:lpwstr>CAC80253621147E8A96BA5B65F9BD969_12</vt:lpwstr>
  </property>
</Properties>
</file>