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eastAsia" w:ascii="黑体" w:eastAsia="黑体"/>
          <w:sz w:val="44"/>
          <w:szCs w:val="36"/>
        </w:rPr>
      </w:pPr>
      <w:r>
        <w:rPr>
          <w:rFonts w:hint="eastAsia" w:ascii="宋体" w:hAnsi="宋体" w:eastAsia="宋体" w:cs="宋体"/>
          <w:sz w:val="44"/>
          <w:szCs w:val="36"/>
        </w:rPr>
        <w:t>渝水区</w:t>
      </w:r>
      <w:r>
        <w:rPr>
          <w:rFonts w:hint="eastAsia" w:ascii="宋体" w:hAnsi="宋体" w:eastAsia="宋体" w:cs="宋体"/>
          <w:sz w:val="44"/>
          <w:szCs w:val="36"/>
          <w:lang w:val="en-US" w:eastAsia="zh-CN"/>
        </w:rPr>
        <w:t>孔目江街道办事处</w:t>
      </w:r>
      <w:r>
        <w:rPr>
          <w:rFonts w:hint="eastAsia" w:ascii="宋体" w:hAnsi="宋体" w:eastAsia="宋体" w:cs="宋体"/>
          <w:sz w:val="44"/>
          <w:szCs w:val="36"/>
        </w:rPr>
        <w:t>202</w:t>
      </w:r>
      <w:r>
        <w:rPr>
          <w:rFonts w:hint="eastAsia" w:ascii="宋体" w:hAnsi="宋体" w:eastAsia="宋体" w:cs="宋体"/>
          <w:sz w:val="44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sz w:val="44"/>
          <w:szCs w:val="36"/>
        </w:rPr>
        <w:t>年部门预算</w:t>
      </w:r>
    </w:p>
    <w:p>
      <w:pPr>
        <w:spacing w:line="600" w:lineRule="exact"/>
        <w:jc w:val="center"/>
        <w:rPr>
          <w:rFonts w:hint="eastAsia" w:ascii="黑体" w:eastAsia="黑体"/>
          <w:sz w:val="44"/>
          <w:szCs w:val="36"/>
        </w:rPr>
      </w:pPr>
    </w:p>
    <w:p>
      <w:pPr>
        <w:spacing w:line="600" w:lineRule="exact"/>
        <w:jc w:val="center"/>
        <w:rPr>
          <w:rFonts w:hint="eastAsia" w:ascii="黑体" w:eastAsia="黑体"/>
          <w:sz w:val="40"/>
          <w:szCs w:val="36"/>
        </w:rPr>
      </w:pPr>
      <w:r>
        <w:rPr>
          <w:rFonts w:hint="eastAsia" w:ascii="黑体" w:eastAsia="黑体"/>
          <w:sz w:val="40"/>
          <w:szCs w:val="36"/>
        </w:rPr>
        <w:t>目    录</w:t>
      </w:r>
    </w:p>
    <w:p>
      <w:pPr>
        <w:pStyle w:val="6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</w:p>
    <w:p>
      <w:pPr>
        <w:pStyle w:val="6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_Toc18276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 xml:space="preserve">第一部分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孔目江街道办事处</w:t>
      </w:r>
      <w:r>
        <w:rPr>
          <w:rFonts w:hint="eastAsia" w:ascii="仿宋" w:hAnsi="仿宋" w:eastAsia="仿宋" w:cs="仿宋"/>
          <w:sz w:val="32"/>
          <w:szCs w:val="32"/>
        </w:rPr>
        <w:t>概况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_Toc18276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_Toc28171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（一）主要职责：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_Toc28171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_Toc25220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（二）部门基本情况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6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_Toc19710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 xml:space="preserve">第二部分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孔目江街道办事处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年部门预算情况说明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7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_Toc29265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年部门预算收支情况说明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_Toc24255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（一）收入预算情况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_Toc9264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（二）预算支出情况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_Toc5087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（三）财政拨款支出情况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_Toc9277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（四）政府性基金情况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_Toc13966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（五）机关运行经费等重要事项的说明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_Toc20556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（六）政府采购情况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3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_Toc46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（七）国有资产占用情况说明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7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_Toc8316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二、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年“三公”经费预算情况说明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6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_Toc8736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 xml:space="preserve">第三部分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孔目江街道办事处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年部门预算表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pStyle w:val="6"/>
        <w:tabs>
          <w:tab w:val="right" w:leader="dot" w:pos="8306"/>
        </w:tabs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\l _Toc27426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第四部分  名词解释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widowControl/>
        <w:spacing w:line="580" w:lineRule="exact"/>
        <w:jc w:val="center"/>
        <w:rPr>
          <w:rFonts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center"/>
        <w:rPr>
          <w:rFonts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center"/>
        <w:rPr>
          <w:rFonts w:hint="eastAsia" w:ascii="黑体" w:hAnsi="黑体" w:eastAsia="黑体" w:cs="黑体"/>
          <w:b/>
          <w:sz w:val="32"/>
          <w:szCs w:val="30"/>
        </w:rPr>
      </w:pPr>
    </w:p>
    <w:p>
      <w:pPr>
        <w:widowControl/>
        <w:spacing w:line="580" w:lineRule="exact"/>
        <w:jc w:val="center"/>
        <w:rPr>
          <w:rFonts w:hint="eastAsia"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第一部分 </w:t>
      </w:r>
      <w:r>
        <w:rPr>
          <w:rFonts w:hint="eastAsia" w:ascii="黑体" w:hAnsi="黑体" w:eastAsia="黑体" w:cs="黑体"/>
          <w:b/>
          <w:sz w:val="32"/>
          <w:szCs w:val="30"/>
          <w:lang w:val="en-US" w:eastAsia="zh-CN"/>
        </w:rPr>
        <w:t>孔目江街道办事处</w:t>
      </w:r>
      <w:r>
        <w:rPr>
          <w:rFonts w:hint="eastAsia" w:ascii="黑体" w:hAnsi="黑体" w:eastAsia="黑体" w:cs="黑体"/>
          <w:b/>
          <w:sz w:val="32"/>
          <w:szCs w:val="30"/>
        </w:rPr>
        <w:t>概况</w:t>
      </w:r>
    </w:p>
    <w:p>
      <w:pPr>
        <w:widowControl/>
        <w:spacing w:line="580" w:lineRule="exact"/>
        <w:ind w:firstLine="640"/>
        <w:jc w:val="left"/>
        <w:rPr>
          <w:rFonts w:hint="eastAsia" w:ascii="楷体_GB2312" w:eastAsia="楷体_GB2312"/>
          <w:b/>
          <w:sz w:val="32"/>
          <w:szCs w:val="30"/>
        </w:rPr>
      </w:pPr>
    </w:p>
    <w:p>
      <w:pPr>
        <w:widowControl/>
        <w:spacing w:line="580" w:lineRule="exact"/>
        <w:ind w:firstLine="640"/>
        <w:jc w:val="left"/>
        <w:rPr>
          <w:rFonts w:hint="eastAsia" w:ascii="楷体_GB2312" w:eastAsia="楷体_GB2312"/>
          <w:b/>
          <w:sz w:val="32"/>
          <w:szCs w:val="30"/>
        </w:rPr>
      </w:pPr>
      <w:r>
        <w:rPr>
          <w:rFonts w:hint="eastAsia" w:ascii="楷体_GB2312" w:eastAsia="楷体_GB2312"/>
          <w:b/>
          <w:sz w:val="32"/>
          <w:szCs w:val="30"/>
        </w:rPr>
        <w:t>一、部门主要职责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0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承担街道党委、街道办事处机关日常工作，负责机关内部的综合协调、督查考核、文秘信息、保密档案、重要会务、行政后勤管理等工作；负责党的建设，做好组织、宣传、纪检、统战、武装、群团等工作；负责人才开发管理、人事编制管理和老干部工作。承担指导推进公共服务综合管理，组织实施与群众生活密切相关的各项公共服务工作；负责教育体育、民政、人力资源和社会保障、文化旅游、卫生健康、医疗保障、残疾人权益保障等方面工作；负责扶贫和移民等相关工作。承担突发公共事件的应急管理工作，加强网格化社会治理服务工作；负责社会治安综合治理、平安建设、信访维稳等工作，指导协调民事纠纷调解处理和社区矫正工作，管理协调综治工作平台；负责安全生产、防灾减灾救灾等工作。负责街道财政预决算编制，统筹街道范围各项收支管理，加强财源建设，协助税收征管工作；负责街道范围内各项财政性资金的管理；负责街道国有资产管理的事务性工作；做好管理处（社区）财务会计管理、加强管理处（社区）经济基础管理；承担其他财政财务管理和服务工作。负责本街道经济基础发展与贸易服务；负责工业、服务业经济运行态势分析监测工作，做好各类经济指标考核的数据等统计工作；负责重大项目和重点项目的指导管理服务工作。承担行政审批和公共服务事项的审核办理工作，协调派驻部门的行政审批及公共服务事项进驻事宜；负责制定有关审批服务及日常运行的规定制度，统一规范办事大厅建设和窗口工作人员管理，处理来信来访、投诉事项；负责政务服务网的公开透明运行，完善权责清单制度，承担行政审批服务等信息系统的管理维护；负责为开展延伸服务的管理处（社区）便民服务点提供业务指导和技术支持；完善审批服务事项工作流程和工作规程，探索创新政务服务方式和工作机制，提高政务服务效能和质量。</w:t>
      </w:r>
      <w:r>
        <w:rPr>
          <w:rFonts w:hint="eastAsia" w:ascii="仿宋_GB2312" w:hAnsi="仿宋_GB2312" w:eastAsia="仿宋_GB2312" w:cs="Times New Roman"/>
          <w:sz w:val="32"/>
          <w:szCs w:val="32"/>
        </w:rPr>
        <w:t>退役军人服务站与便民服务中心综合设置，负责退役军人事务服务管理等相关工作。</w:t>
      </w:r>
    </w:p>
    <w:p>
      <w:pPr>
        <w:ind w:firstLine="643" w:firstLineChars="200"/>
        <w:rPr>
          <w:rFonts w:hint="eastAsia" w:ascii="楷体_GB2312" w:hAnsi="Calibri" w:eastAsia="楷体_GB2312" w:cs="宋体"/>
          <w:b/>
          <w:kern w:val="0"/>
          <w:sz w:val="32"/>
          <w:szCs w:val="32"/>
        </w:rPr>
      </w:pPr>
      <w:r>
        <w:rPr>
          <w:rFonts w:hint="eastAsia" w:ascii="楷体_GB2312" w:hAnsi="Calibri" w:eastAsia="楷体_GB2312" w:cs="宋体"/>
          <w:b/>
          <w:kern w:val="0"/>
          <w:sz w:val="32"/>
          <w:szCs w:val="32"/>
        </w:rPr>
        <w:t>二、部门基本情况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0"/>
        </w:rPr>
      </w:pP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孔目江街道办事处</w:t>
      </w:r>
      <w:r>
        <w:rPr>
          <w:rFonts w:hint="eastAsia" w:ascii="仿宋_GB2312" w:hAnsi="宋体" w:eastAsia="仿宋_GB2312"/>
          <w:sz w:val="32"/>
          <w:szCs w:val="30"/>
        </w:rPr>
        <w:t>共有预算单位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0"/>
        </w:rPr>
        <w:t>个，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为街道</w:t>
      </w:r>
      <w:r>
        <w:rPr>
          <w:rFonts w:hint="eastAsia" w:ascii="仿宋_GB2312" w:hAnsi="宋体" w:eastAsia="仿宋_GB2312"/>
          <w:sz w:val="32"/>
          <w:szCs w:val="30"/>
        </w:rPr>
        <w:t>本级。编制人数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59</w:t>
      </w:r>
      <w:r>
        <w:rPr>
          <w:rFonts w:hint="eastAsia" w:ascii="仿宋_GB2312" w:hAnsi="宋体" w:eastAsia="仿宋_GB2312"/>
          <w:sz w:val="32"/>
          <w:szCs w:val="30"/>
        </w:rPr>
        <w:t>人，其中：行政编制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0"/>
        </w:rPr>
        <w:t>人、全额补助事业编制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36</w:t>
      </w:r>
      <w:r>
        <w:rPr>
          <w:rFonts w:hint="eastAsia" w:ascii="仿宋_GB2312" w:hAnsi="宋体" w:eastAsia="仿宋_GB2312"/>
          <w:sz w:val="32"/>
          <w:szCs w:val="30"/>
        </w:rPr>
        <w:t>人、差额补助事业编制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0"/>
        </w:rPr>
        <w:t>人；实有人数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65</w:t>
      </w:r>
      <w:r>
        <w:rPr>
          <w:rFonts w:hint="eastAsia" w:ascii="仿宋_GB2312" w:hAnsi="宋体" w:eastAsia="仿宋_GB2312"/>
          <w:sz w:val="32"/>
          <w:szCs w:val="30"/>
        </w:rPr>
        <w:t>人，其中：在职人数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65</w:t>
      </w:r>
      <w:r>
        <w:rPr>
          <w:rFonts w:hint="eastAsia" w:ascii="仿宋_GB2312" w:hAnsi="宋体" w:eastAsia="仿宋_GB2312"/>
          <w:sz w:val="32"/>
          <w:szCs w:val="30"/>
        </w:rPr>
        <w:t>人，包括行政人员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26</w:t>
      </w:r>
      <w:r>
        <w:rPr>
          <w:rFonts w:hint="eastAsia" w:ascii="仿宋_GB2312" w:hAnsi="宋体" w:eastAsia="仿宋_GB2312"/>
          <w:sz w:val="32"/>
          <w:szCs w:val="30"/>
        </w:rPr>
        <w:t>人、全额补助事业人员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36</w:t>
      </w:r>
      <w:r>
        <w:rPr>
          <w:rFonts w:hint="eastAsia" w:ascii="仿宋_GB2312" w:hAnsi="宋体" w:eastAsia="仿宋_GB2312"/>
          <w:sz w:val="32"/>
          <w:szCs w:val="30"/>
        </w:rPr>
        <w:t>人、差额补助事业人员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0"/>
        </w:rPr>
        <w:t>人；退休人员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0"/>
        </w:rPr>
        <w:t>人。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0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0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0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0"/>
        </w:rPr>
      </w:pPr>
    </w:p>
    <w:p>
      <w:pPr>
        <w:widowControl/>
        <w:spacing w:line="580" w:lineRule="exact"/>
        <w:jc w:val="center"/>
        <w:rPr>
          <w:rFonts w:hint="eastAsia" w:ascii="黑体" w:hAnsi="黑体" w:eastAsia="黑体" w:cs="黑体"/>
          <w:b/>
          <w:sz w:val="32"/>
          <w:szCs w:val="30"/>
        </w:rPr>
      </w:pPr>
    </w:p>
    <w:p>
      <w:pPr>
        <w:widowControl/>
        <w:spacing w:line="580" w:lineRule="exact"/>
        <w:jc w:val="center"/>
        <w:rPr>
          <w:rFonts w:hint="eastAsia"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第二部分 </w:t>
      </w:r>
      <w:r>
        <w:rPr>
          <w:rFonts w:hint="eastAsia" w:ascii="黑体" w:hAnsi="黑体" w:eastAsia="黑体" w:cs="黑体"/>
          <w:b/>
          <w:sz w:val="32"/>
          <w:szCs w:val="30"/>
          <w:lang w:val="en-US" w:eastAsia="zh-CN"/>
        </w:rPr>
        <w:t>孔目江街道办事处</w:t>
      </w:r>
      <w:r>
        <w:rPr>
          <w:rFonts w:hint="eastAsia" w:ascii="黑体" w:hAnsi="黑体" w:eastAsia="黑体" w:cs="黑体"/>
          <w:b/>
          <w:sz w:val="32"/>
          <w:szCs w:val="30"/>
          <w:lang w:eastAsia="zh-CN"/>
        </w:rPr>
        <w:t>2024</w:t>
      </w:r>
      <w:r>
        <w:rPr>
          <w:rFonts w:hint="eastAsia" w:ascii="黑体" w:hAnsi="黑体" w:eastAsia="黑体" w:cs="黑体"/>
          <w:b/>
          <w:sz w:val="32"/>
          <w:szCs w:val="30"/>
        </w:rPr>
        <w:t>年部门预算情况说明</w:t>
      </w:r>
    </w:p>
    <w:p>
      <w:pPr>
        <w:widowControl/>
        <w:spacing w:line="580" w:lineRule="exact"/>
        <w:jc w:val="center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ind w:firstLine="643" w:firstLineChars="200"/>
        <w:jc w:val="left"/>
        <w:rPr>
          <w:rFonts w:hint="eastAsia" w:ascii="楷体_GB2312" w:eastAsia="楷体_GB2312"/>
          <w:b/>
          <w:sz w:val="32"/>
          <w:szCs w:val="30"/>
        </w:rPr>
      </w:pPr>
      <w:r>
        <w:rPr>
          <w:rFonts w:hint="eastAsia" w:ascii="楷体_GB2312" w:eastAsia="楷体_GB2312"/>
          <w:b/>
          <w:sz w:val="32"/>
          <w:szCs w:val="30"/>
        </w:rPr>
        <w:t>一、</w:t>
      </w:r>
      <w:r>
        <w:rPr>
          <w:rFonts w:hint="eastAsia" w:ascii="楷体_GB2312" w:eastAsia="楷体_GB2312"/>
          <w:b/>
          <w:sz w:val="32"/>
          <w:szCs w:val="30"/>
          <w:lang w:eastAsia="zh-CN"/>
        </w:rPr>
        <w:t>2024</w:t>
      </w:r>
      <w:r>
        <w:rPr>
          <w:rFonts w:hint="eastAsia" w:ascii="楷体_GB2312" w:eastAsia="楷体_GB2312"/>
          <w:b/>
          <w:sz w:val="32"/>
          <w:szCs w:val="30"/>
        </w:rPr>
        <w:t>年部门预算收支情况说明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（一）收入预算情况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  <w:lang w:eastAsia="zh-CN"/>
        </w:rPr>
        <w:t>2024</w:t>
      </w:r>
      <w:r>
        <w:rPr>
          <w:rFonts w:hint="eastAsia" w:ascii="仿宋_GB2312" w:hAnsi="Times New Roman" w:eastAsia="仿宋_GB2312" w:cs="Times New Roman"/>
          <w:sz w:val="32"/>
          <w:szCs w:val="30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孔目江街道办事处</w:t>
      </w:r>
      <w:r>
        <w:rPr>
          <w:rFonts w:hint="eastAsia" w:ascii="仿宋_GB2312" w:hAnsi="Times New Roman" w:eastAsia="仿宋_GB2312" w:cs="Times New Roman"/>
          <w:sz w:val="32"/>
          <w:szCs w:val="30"/>
        </w:rPr>
        <w:t>收入预算总额为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2656.32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万元，比上年减少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313.68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万元，原因是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以收定支，2024年预计收入会较2023年有所减少</w:t>
      </w:r>
      <w:r>
        <w:rPr>
          <w:rFonts w:hint="eastAsia" w:ascii="仿宋_GB2312" w:hAnsi="Times New Roman" w:eastAsia="仿宋_GB2312" w:cs="Times New Roman"/>
          <w:sz w:val="32"/>
          <w:szCs w:val="30"/>
        </w:rPr>
        <w:t>。其中财政拨款收入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2656.32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万元，占收入预算总额的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100</w:t>
      </w:r>
      <w:r>
        <w:rPr>
          <w:rFonts w:hint="eastAsia" w:ascii="仿宋_GB2312" w:hAnsi="Times New Roman" w:eastAsia="仿宋_GB2312" w:cs="Times New Roman"/>
          <w:sz w:val="32"/>
          <w:szCs w:val="30"/>
        </w:rPr>
        <w:t xml:space="preserve"> %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（二）支出预算情况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  <w:lang w:eastAsia="zh-CN"/>
        </w:rPr>
        <w:t>2024</w:t>
      </w:r>
      <w:r>
        <w:rPr>
          <w:rFonts w:hint="eastAsia" w:ascii="仿宋_GB2312" w:hAnsi="Times New Roman" w:eastAsia="仿宋_GB2312" w:cs="Times New Roman"/>
          <w:sz w:val="32"/>
          <w:szCs w:val="30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孔目江街道办事处</w:t>
      </w:r>
      <w:r>
        <w:rPr>
          <w:rFonts w:hint="eastAsia" w:ascii="仿宋_GB2312" w:hAnsi="Times New Roman" w:eastAsia="仿宋_GB2312" w:cs="Times New Roman"/>
          <w:sz w:val="32"/>
          <w:szCs w:val="30"/>
        </w:rPr>
        <w:t>支出预算总额为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2656.32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万元。其中：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按支出项目类别划分：基本支出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1835.32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69.09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%；包括工资福利支出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1639.04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万元、商品和服务支出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195.35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万元、对个人和家庭的补助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0.92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万元；项目支出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821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30.91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%，包括行政事业性项目支出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318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万元、生产建设性项目支出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503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按支出功能科目划分：一般公共服务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支出1828.85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68.85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社会保障和就业支出191.48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7.21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资源勘探工业信息等支出503万元，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18.94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住房保障支出132.99万元，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0"/>
        </w:rPr>
        <w:t>%。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按支出经济分类划分：工资福利支出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1639.04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61.70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%；商品和服务支出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360.36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13.57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对个人和家庭的补助支出0.92万元，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0.03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对企业补助支出503万元，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18.93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资本性支出153万元，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5.77</w:t>
      </w:r>
      <w:r>
        <w:rPr>
          <w:rFonts w:hint="eastAsia" w:ascii="仿宋_GB2312" w:hAnsi="Times New Roman" w:eastAsia="仿宋_GB2312" w:cs="Times New Roman"/>
          <w:sz w:val="32"/>
          <w:szCs w:val="30"/>
        </w:rPr>
        <w:t>%。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（三）财政拨款支出情况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  <w:lang w:eastAsia="zh-CN"/>
        </w:rPr>
        <w:t>2024</w:t>
      </w:r>
      <w:r>
        <w:rPr>
          <w:rFonts w:hint="eastAsia" w:ascii="仿宋_GB2312" w:hAnsi="Times New Roman" w:eastAsia="仿宋_GB2312" w:cs="Times New Roman"/>
          <w:sz w:val="32"/>
          <w:szCs w:val="30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孔目江街道办事处</w:t>
      </w:r>
      <w:r>
        <w:rPr>
          <w:rFonts w:hint="eastAsia" w:ascii="仿宋_GB2312" w:hAnsi="Times New Roman" w:eastAsia="仿宋_GB2312" w:cs="Times New Roman"/>
          <w:sz w:val="32"/>
          <w:szCs w:val="30"/>
        </w:rPr>
        <w:t>财政拨款支出预算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2656.32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100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%，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比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上年减少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313.68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万元，原因是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以收定支，收入预计减少，支出也应相应减少</w:t>
      </w:r>
      <w:r>
        <w:rPr>
          <w:rFonts w:hint="eastAsia" w:ascii="仿宋_GB2312" w:hAnsi="Times New Roman" w:eastAsia="仿宋_GB2312" w:cs="Times New Roman"/>
          <w:sz w:val="32"/>
          <w:szCs w:val="30"/>
        </w:rPr>
        <w:t>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按支出功能科目划分：一般公共服务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支出1828.85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68.85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社会保障和就业支出191.48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7.21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资源勘探工业信息等支出503万元，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18.94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住房保障支出132.99万元，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0"/>
        </w:rPr>
        <w:t>%。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按支出经济分类划分：工资福利支出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1639.04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61.70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%；商品和服务支出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360.36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13.57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对个人和家庭的补助支出0.92万元，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0.03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对企业补助支出503万元，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18.93</w:t>
      </w:r>
      <w:r>
        <w:rPr>
          <w:rFonts w:hint="eastAsia" w:ascii="仿宋_GB2312" w:hAnsi="Times New Roman" w:eastAsia="仿宋_GB2312" w:cs="Times New Roman"/>
          <w:sz w:val="32"/>
          <w:szCs w:val="30"/>
        </w:rPr>
        <w:t>%；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资本性支出153万元，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占支出预算总额的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5.77</w:t>
      </w:r>
      <w:r>
        <w:rPr>
          <w:rFonts w:hint="eastAsia" w:ascii="仿宋_GB2312" w:hAnsi="Times New Roman" w:eastAsia="仿宋_GB2312" w:cs="Times New Roman"/>
          <w:sz w:val="32"/>
          <w:szCs w:val="30"/>
        </w:rPr>
        <w:t>%。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（四）政府性基金情况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政府性基金支出总额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0万元</w:t>
      </w:r>
      <w:r>
        <w:rPr>
          <w:rFonts w:hint="eastAsia" w:ascii="仿宋_GB2312" w:hAnsi="Times New Roman" w:eastAsia="仿宋_GB2312" w:cs="Times New Roman"/>
          <w:sz w:val="32"/>
          <w:szCs w:val="30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与上年持平，主要原因是</w:t>
      </w:r>
      <w:r>
        <w:rPr>
          <w:rFonts w:hint="eastAsia" w:ascii="仿宋_GB2312" w:hAnsi="Times New Roman" w:eastAsia="仿宋_GB2312" w:cs="Times New Roman"/>
          <w:sz w:val="32"/>
          <w:szCs w:val="30"/>
        </w:rPr>
        <w:t>没有使用政府性基金预算拨款安排的支出。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（五）机关运行经费等重要事项的说明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按照财政部《地方预决算公开操作规程》明确的口径计算，</w:t>
      </w:r>
      <w:r>
        <w:rPr>
          <w:rFonts w:hint="eastAsia" w:ascii="仿宋_GB2312" w:hAnsi="Times New Roman" w:eastAsia="仿宋_GB2312" w:cs="Times New Roman"/>
          <w:sz w:val="32"/>
          <w:szCs w:val="30"/>
          <w:lang w:eastAsia="zh-CN"/>
        </w:rPr>
        <w:t>2024</w:t>
      </w:r>
      <w:r>
        <w:rPr>
          <w:rFonts w:hint="eastAsia" w:ascii="仿宋_GB2312" w:hAnsi="Times New Roman" w:eastAsia="仿宋_GB2312" w:cs="Times New Roman"/>
          <w:sz w:val="32"/>
          <w:szCs w:val="30"/>
        </w:rPr>
        <w:t>年本部门的公用经费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195.35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万元，其中：办公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费50万元，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印刷费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10万元，咨询费5万元，水费2万元，电费10万元，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邮电费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3万元，</w:t>
      </w:r>
      <w:r>
        <w:rPr>
          <w:rFonts w:hint="eastAsia" w:ascii="仿宋_GB2312" w:hAnsi="Times New Roman" w:eastAsia="仿宋_GB2312" w:cs="Times New Roman"/>
          <w:sz w:val="32"/>
          <w:szCs w:val="30"/>
        </w:rPr>
        <w:t>差旅费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20万元，维修费5万元，培训费5万元，公务接待费20万元，工会经费9.35万元，其他交通费用43万元，其他商品和服务支出13万元。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（六）政府采购情况</w:t>
      </w:r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  <w:lang w:eastAsia="zh-CN"/>
        </w:rPr>
        <w:t>2024</w:t>
      </w:r>
      <w:r>
        <w:rPr>
          <w:rFonts w:hint="eastAsia" w:ascii="仿宋_GB2312" w:hAnsi="Times New Roman" w:eastAsia="仿宋_GB2312" w:cs="Times New Roman"/>
          <w:sz w:val="32"/>
          <w:szCs w:val="30"/>
        </w:rPr>
        <w:t>年本部门政府采购总额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153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万元，其中政府采购货物预算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150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万元、服务预算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0"/>
        </w:rPr>
        <w:t>万元。</w:t>
      </w:r>
      <w:bookmarkStart w:id="0" w:name="_Toc13871"/>
      <w:bookmarkStart w:id="1" w:name="_Toc46"/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hAnsi="Times New Roman" w:eastAsia="仿宋_GB2312" w:cs="Times New Roman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（七）国有资产占用情况说明</w:t>
      </w:r>
      <w:bookmarkEnd w:id="0"/>
      <w:bookmarkEnd w:id="1"/>
    </w:p>
    <w:p>
      <w:pPr>
        <w:widowControl/>
        <w:spacing w:line="580" w:lineRule="exact"/>
        <w:ind w:firstLine="800" w:firstLineChars="25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hAnsi="Times New Roman" w:eastAsia="仿宋_GB2312" w:cs="Times New Roman"/>
          <w:sz w:val="32"/>
          <w:szCs w:val="30"/>
        </w:rPr>
        <w:t>截至20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23</w:t>
      </w:r>
      <w:r>
        <w:rPr>
          <w:rFonts w:hint="eastAsia" w:ascii="仿宋_GB2312" w:hAnsi="Times New Roman" w:eastAsia="仿宋_GB2312" w:cs="Times New Roman"/>
          <w:sz w:val="32"/>
          <w:szCs w:val="30"/>
        </w:rPr>
        <w:t>年12月31日，本部门共有车辆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0"/>
        </w:rPr>
        <w:t>辆，单价100万元以上专用设备</w:t>
      </w:r>
      <w:r>
        <w:rPr>
          <w:rFonts w:hint="eastAsia" w:ascii="仿宋_GB2312" w:hAnsi="Times New Roman" w:eastAsia="仿宋_GB2312" w:cs="Times New Roman"/>
          <w:sz w:val="32"/>
          <w:szCs w:val="30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0"/>
        </w:rPr>
        <w:t>台（套）。</w:t>
      </w:r>
    </w:p>
    <w:p>
      <w:pPr>
        <w:widowControl/>
        <w:spacing w:line="580" w:lineRule="exact"/>
        <w:ind w:firstLine="640"/>
        <w:jc w:val="left"/>
        <w:rPr>
          <w:rFonts w:hint="eastAsia" w:ascii="楷体_GB2312" w:eastAsia="楷体_GB2312"/>
          <w:b/>
          <w:sz w:val="32"/>
          <w:szCs w:val="30"/>
        </w:rPr>
      </w:pPr>
      <w:r>
        <w:rPr>
          <w:rFonts w:hint="eastAsia" w:ascii="楷体_GB2312" w:hAnsi="Calibri" w:eastAsia="楷体_GB2312" w:cs="宋体"/>
          <w:b/>
          <w:kern w:val="0"/>
          <w:sz w:val="32"/>
          <w:szCs w:val="32"/>
        </w:rPr>
        <w:t>二、</w:t>
      </w:r>
      <w:r>
        <w:rPr>
          <w:rFonts w:hint="eastAsia" w:ascii="楷体_GB2312" w:eastAsia="楷体_GB2312"/>
          <w:b/>
          <w:sz w:val="32"/>
          <w:szCs w:val="30"/>
          <w:lang w:eastAsia="zh-CN"/>
        </w:rPr>
        <w:t>2024</w:t>
      </w:r>
      <w:r>
        <w:rPr>
          <w:rFonts w:hint="eastAsia" w:ascii="楷体_GB2312" w:eastAsia="楷体_GB2312"/>
          <w:b/>
          <w:sz w:val="32"/>
          <w:szCs w:val="30"/>
        </w:rPr>
        <w:t>年“三公</w:t>
      </w:r>
      <w:r>
        <w:rPr>
          <w:rFonts w:ascii="楷体_GB2312" w:eastAsia="楷体_GB2312"/>
          <w:b/>
          <w:sz w:val="32"/>
          <w:szCs w:val="30"/>
        </w:rPr>
        <w:t>”</w:t>
      </w:r>
      <w:r>
        <w:rPr>
          <w:rFonts w:hint="eastAsia" w:ascii="楷体_GB2312" w:eastAsia="楷体_GB2312"/>
          <w:b/>
          <w:sz w:val="32"/>
          <w:szCs w:val="30"/>
        </w:rPr>
        <w:t>经费预算情况说明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  <w:lang w:eastAsia="zh-CN"/>
        </w:rPr>
        <w:t>2024</w:t>
      </w:r>
      <w:r>
        <w:rPr>
          <w:rFonts w:hint="eastAsia" w:ascii="仿宋_GB2312" w:eastAsia="仿宋_GB2312"/>
          <w:sz w:val="32"/>
          <w:szCs w:val="30"/>
        </w:rPr>
        <w:t>年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孔目江街道办事处</w:t>
      </w:r>
      <w:r>
        <w:rPr>
          <w:rFonts w:hint="eastAsia" w:ascii="仿宋_GB2312" w:eastAsia="仿宋_GB2312"/>
          <w:sz w:val="32"/>
          <w:szCs w:val="30"/>
        </w:rPr>
        <w:t>“三公”经费年初预算安排  万元。其中：</w:t>
      </w:r>
    </w:p>
    <w:p>
      <w:pPr>
        <w:widowControl/>
        <w:spacing w:line="580" w:lineRule="exact"/>
        <w:ind w:firstLine="640"/>
        <w:jc w:val="left"/>
        <w:rPr>
          <w:rFonts w:hint="eastAsia" w:ascii="仿宋_GB2312" w:hAnsi="宋体" w:eastAsia="仿宋_GB2312"/>
          <w:sz w:val="32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0"/>
        </w:rPr>
        <w:t>因公出国（境）费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0"/>
        </w:rPr>
        <w:t>万元，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与</w:t>
      </w:r>
      <w:r>
        <w:rPr>
          <w:rFonts w:hint="eastAsia" w:ascii="仿宋_GB2312" w:eastAsia="仿宋_GB2312"/>
          <w:sz w:val="32"/>
          <w:szCs w:val="30"/>
        </w:rPr>
        <w:t>上年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持平</w:t>
      </w:r>
      <w:r>
        <w:rPr>
          <w:rFonts w:hint="eastAsia" w:ascii="仿宋_GB2312" w:hAnsi="宋体" w:eastAsia="仿宋_GB2312"/>
          <w:sz w:val="32"/>
          <w:szCs w:val="30"/>
        </w:rPr>
        <w:t>，主要原因是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无该类需求。</w:t>
      </w:r>
    </w:p>
    <w:p>
      <w:pPr>
        <w:widowControl/>
        <w:spacing w:line="580" w:lineRule="exact"/>
        <w:ind w:firstLine="640"/>
        <w:jc w:val="left"/>
        <w:rPr>
          <w:rFonts w:hint="default" w:ascii="仿宋_GB2312" w:hAnsi="宋体" w:eastAsia="仿宋_GB2312"/>
          <w:sz w:val="32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0"/>
        </w:rPr>
        <w:t>公务接待费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0"/>
        </w:rPr>
        <w:t>万元，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与</w:t>
      </w:r>
      <w:r>
        <w:rPr>
          <w:rFonts w:hint="eastAsia" w:ascii="仿宋_GB2312" w:eastAsia="仿宋_GB2312"/>
          <w:sz w:val="32"/>
          <w:szCs w:val="30"/>
        </w:rPr>
        <w:t>上年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持平</w:t>
      </w:r>
      <w:r>
        <w:rPr>
          <w:rFonts w:hint="eastAsia" w:ascii="仿宋_GB2312" w:hAnsi="宋体" w:eastAsia="仿宋_GB2312"/>
          <w:sz w:val="32"/>
          <w:szCs w:val="30"/>
        </w:rPr>
        <w:t>，主要原因是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公务接待需求无增长。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hAnsi="宋体" w:eastAsia="仿宋_GB2312"/>
          <w:sz w:val="32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0"/>
        </w:rPr>
        <w:t>公务用车购置及运行经费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0"/>
        </w:rPr>
        <w:t>万元，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与</w:t>
      </w:r>
      <w:r>
        <w:rPr>
          <w:rFonts w:hint="eastAsia" w:ascii="仿宋_GB2312" w:eastAsia="仿宋_GB2312"/>
          <w:sz w:val="32"/>
          <w:szCs w:val="30"/>
        </w:rPr>
        <w:t>上年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持平</w:t>
      </w:r>
      <w:r>
        <w:rPr>
          <w:rFonts w:hint="eastAsia" w:ascii="仿宋_GB2312" w:hAnsi="宋体" w:eastAsia="仿宋_GB2312"/>
          <w:sz w:val="32"/>
          <w:szCs w:val="30"/>
        </w:rPr>
        <w:t>，主要原因是</w:t>
      </w:r>
      <w:r>
        <w:rPr>
          <w:rFonts w:hint="eastAsia" w:ascii="仿宋_GB2312" w:hAnsi="宋体" w:eastAsia="仿宋_GB2312"/>
          <w:sz w:val="32"/>
          <w:szCs w:val="30"/>
          <w:lang w:val="en-US" w:eastAsia="zh-CN"/>
        </w:rPr>
        <w:t>街道无公务用车及购置需求。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hAnsi="宋体" w:eastAsia="仿宋_GB2312"/>
          <w:sz w:val="32"/>
          <w:szCs w:val="30"/>
          <w:lang w:val="en-US" w:eastAsia="zh-CN"/>
        </w:rPr>
      </w:pPr>
    </w:p>
    <w:p>
      <w:pPr>
        <w:widowControl/>
        <w:spacing w:line="580" w:lineRule="exact"/>
        <w:ind w:firstLine="640"/>
        <w:jc w:val="left"/>
        <w:rPr>
          <w:rFonts w:hint="eastAsia" w:ascii="仿宋_GB2312" w:hAnsi="宋体" w:eastAsia="仿宋_GB2312"/>
          <w:sz w:val="32"/>
          <w:szCs w:val="30"/>
          <w:lang w:val="en-US" w:eastAsia="zh-CN"/>
        </w:rPr>
      </w:pPr>
    </w:p>
    <w:p>
      <w:pPr>
        <w:widowControl/>
        <w:spacing w:line="580" w:lineRule="exact"/>
        <w:ind w:firstLine="640"/>
        <w:jc w:val="left"/>
        <w:rPr>
          <w:rFonts w:hint="eastAsia" w:ascii="仿宋_GB2312" w:hAnsi="宋体" w:eastAsia="仿宋_GB2312"/>
          <w:sz w:val="32"/>
          <w:szCs w:val="30"/>
          <w:lang w:val="en-US" w:eastAsia="zh-CN"/>
        </w:rPr>
      </w:pPr>
    </w:p>
    <w:p>
      <w:pPr>
        <w:widowControl/>
        <w:spacing w:line="580" w:lineRule="exact"/>
        <w:ind w:firstLine="640"/>
        <w:jc w:val="left"/>
        <w:rPr>
          <w:rFonts w:hint="eastAsia" w:ascii="仿宋_GB2312" w:hAnsi="宋体" w:eastAsia="仿宋_GB2312"/>
          <w:sz w:val="32"/>
          <w:szCs w:val="30"/>
          <w:lang w:val="en-US" w:eastAsia="zh-CN"/>
        </w:rPr>
      </w:pPr>
    </w:p>
    <w:p>
      <w:pPr>
        <w:widowControl/>
        <w:spacing w:line="580" w:lineRule="exact"/>
        <w:ind w:firstLine="640"/>
        <w:jc w:val="left"/>
        <w:rPr>
          <w:rFonts w:hint="eastAsia" w:ascii="仿宋_GB2312" w:hAnsi="宋体" w:eastAsia="仿宋_GB2312"/>
          <w:sz w:val="32"/>
          <w:szCs w:val="30"/>
          <w:lang w:val="en-US" w:eastAsia="zh-CN"/>
        </w:rPr>
      </w:pPr>
    </w:p>
    <w:p>
      <w:pPr>
        <w:widowControl/>
        <w:spacing w:line="580" w:lineRule="exact"/>
        <w:jc w:val="center"/>
        <w:rPr>
          <w:rFonts w:hint="eastAsia"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第三部分  </w:t>
      </w:r>
      <w:r>
        <w:rPr>
          <w:rFonts w:hint="eastAsia" w:ascii="黑体" w:hAnsi="黑体" w:eastAsia="黑体" w:cs="黑体"/>
          <w:b/>
          <w:sz w:val="32"/>
          <w:szCs w:val="30"/>
          <w:lang w:val="en-US" w:eastAsia="zh-CN"/>
        </w:rPr>
        <w:t>孔目江街道办事处</w:t>
      </w:r>
      <w:r>
        <w:rPr>
          <w:rFonts w:hint="eastAsia" w:ascii="黑体" w:hAnsi="黑体" w:eastAsia="黑体" w:cs="黑体"/>
          <w:b/>
          <w:sz w:val="32"/>
          <w:szCs w:val="30"/>
          <w:lang w:eastAsia="zh-CN"/>
        </w:rPr>
        <w:t>2024</w:t>
      </w:r>
      <w:r>
        <w:rPr>
          <w:rFonts w:hint="eastAsia" w:ascii="黑体" w:hAnsi="黑体" w:eastAsia="黑体" w:cs="黑体"/>
          <w:b/>
          <w:sz w:val="32"/>
          <w:szCs w:val="30"/>
        </w:rPr>
        <w:t>年部门预算表（详见公开表格附表）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1、收支预算总表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2、部门收入总表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3、部门支出总表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4、财政拨款收支总表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5、一般公共预算支出表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6、一般公共预算基本支出表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7、一般公共预算“三公”经费支出表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8、政府性基金预算支出表。</w:t>
      </w:r>
    </w:p>
    <w:p>
      <w:pPr>
        <w:widowControl/>
        <w:spacing w:line="580" w:lineRule="exact"/>
        <w:ind w:firstLine="640"/>
        <w:jc w:val="left"/>
        <w:rPr>
          <w:rFonts w:hint="default" w:ascii="仿宋_GB2312" w:eastAsia="仿宋_GB2312"/>
          <w:sz w:val="32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0"/>
          <w:lang w:val="en-US" w:eastAsia="zh-CN"/>
        </w:rPr>
        <w:t>9、国有资本经营预算支出表。</w:t>
      </w:r>
    </w:p>
    <w:p>
      <w:pPr>
        <w:pStyle w:val="11"/>
        <w:tabs>
          <w:tab w:val="left" w:pos="6546"/>
        </w:tabs>
        <w:spacing w:line="600" w:lineRule="atLeast"/>
        <w:ind w:firstLine="640" w:firstLineChars="200"/>
        <w:jc w:val="left"/>
        <w:rPr>
          <w:rFonts w:hint="eastAsia" w:ascii="Adobe 仿宋 Std R" w:hAnsi="Adobe 仿宋 Std R" w:eastAsia="Adobe 仿宋 Std R" w:cs="黑体"/>
          <w:kern w:val="2"/>
          <w:sz w:val="32"/>
          <w:szCs w:val="30"/>
          <w:lang w:eastAsia="zh-CN"/>
        </w:rPr>
      </w:pPr>
      <w:r>
        <w:rPr>
          <w:rFonts w:hint="eastAsia" w:ascii="Adobe 仿宋 Std R" w:hAnsi="Adobe 仿宋 Std R" w:eastAsia="Adobe 仿宋 Std R" w:cs="黑体"/>
          <w:kern w:val="2"/>
          <w:sz w:val="32"/>
          <w:szCs w:val="30"/>
          <w:lang w:val="en-US" w:eastAsia="zh-CN"/>
        </w:rPr>
        <w:t>10</w:t>
      </w:r>
      <w:r>
        <w:rPr>
          <w:rFonts w:ascii="Adobe 仿宋 Std R" w:hAnsi="Adobe 仿宋 Std R" w:eastAsia="Adobe 仿宋 Std R" w:cs="黑体"/>
          <w:kern w:val="2"/>
          <w:sz w:val="32"/>
          <w:szCs w:val="30"/>
        </w:rPr>
        <w:t>、</w:t>
      </w:r>
      <w:r>
        <w:rPr>
          <w:rFonts w:hint="eastAsia" w:ascii="仿宋_GB2312" w:hAnsi="Times New Roman" w:eastAsia="仿宋_GB2312" w:cs="Times New Roman"/>
          <w:kern w:val="2"/>
          <w:sz w:val="32"/>
          <w:szCs w:val="30"/>
          <w:lang w:val="en-US" w:eastAsia="zh-CN" w:bidi="ar-SA"/>
        </w:rPr>
        <w:t>《部门整体支出绩效目标表》</w:t>
      </w:r>
      <w:r>
        <w:rPr>
          <w:rFonts w:hint="eastAsia" w:ascii="仿宋_GB2312" w:hAnsi="Times New Roman" w:eastAsia="仿宋_GB2312" w:cs="Times New Roman"/>
          <w:kern w:val="2"/>
          <w:sz w:val="32"/>
          <w:szCs w:val="30"/>
          <w:lang w:val="en-US" w:eastAsia="zh-CN" w:bidi="ar-SA"/>
        </w:rPr>
        <w:tab/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  <w:lang w:val="en-US" w:eastAsia="zh-CN"/>
        </w:rPr>
        <w:t>11、</w:t>
      </w:r>
      <w:r>
        <w:rPr>
          <w:rFonts w:hint="eastAsia" w:ascii="仿宋_GB2312" w:eastAsia="仿宋_GB2312"/>
          <w:sz w:val="32"/>
          <w:szCs w:val="30"/>
        </w:rPr>
        <w:t>《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项目</w:t>
      </w:r>
      <w:r>
        <w:rPr>
          <w:rFonts w:hint="eastAsia" w:ascii="仿宋_GB2312" w:eastAsia="仿宋_GB2312"/>
          <w:sz w:val="32"/>
          <w:szCs w:val="30"/>
        </w:rPr>
        <w:t>绩效目标表》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left"/>
        <w:rPr>
          <w:rFonts w:hint="eastAsia" w:ascii="仿宋_GB2312" w:eastAsia="仿宋_GB2312"/>
          <w:b/>
          <w:sz w:val="32"/>
          <w:szCs w:val="30"/>
        </w:rPr>
      </w:pPr>
    </w:p>
    <w:p>
      <w:pPr>
        <w:widowControl/>
        <w:spacing w:line="580" w:lineRule="exact"/>
        <w:jc w:val="center"/>
        <w:rPr>
          <w:rFonts w:hint="eastAsia"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b/>
          <w:sz w:val="32"/>
          <w:szCs w:val="30"/>
        </w:rPr>
        <w:t>第四部分   名词解释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一、收入科目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（一）财政拨款：指省级财政当年拨付的资金。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（二）事业收入：指事业单位开展专业业务活动及辅助</w:t>
      </w:r>
    </w:p>
    <w:p>
      <w:pPr>
        <w:widowControl/>
        <w:spacing w:line="580" w:lineRule="exact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活动取得的收入。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（三）事业单位经营收</w:t>
      </w:r>
      <w:bookmarkStart w:id="2" w:name="_GoBack"/>
      <w:bookmarkEnd w:id="2"/>
      <w:r>
        <w:rPr>
          <w:rFonts w:hint="eastAsia" w:ascii="仿宋_GB2312" w:eastAsia="仿宋_GB2312"/>
          <w:sz w:val="32"/>
          <w:szCs w:val="30"/>
        </w:rPr>
        <w:t>入：指事业单位在专业业务活动</w:t>
      </w:r>
    </w:p>
    <w:p>
      <w:pPr>
        <w:widowControl/>
        <w:spacing w:line="580" w:lineRule="exact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及辅助活动之外开展非独立核算经营活动取得的收入。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（四）其他收入：指除财政拨款、事业收入、事业单位</w:t>
      </w:r>
    </w:p>
    <w:p>
      <w:pPr>
        <w:widowControl/>
        <w:spacing w:line="580" w:lineRule="exact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经营收入等以外的各项收入。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（五）附属单位上缴收入：反映事业单位附属的独立核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算单位按规定标准或比例缴纳的各项收入。包括附属的事业单位上缴的收入和附属的企业上缴的利润等。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（六）上级补助收入：反映事业单位从主管部门和上级</w:t>
      </w:r>
    </w:p>
    <w:p>
      <w:pPr>
        <w:widowControl/>
        <w:spacing w:line="580" w:lineRule="exact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单位取得的非财政补助收入。</w:t>
      </w:r>
    </w:p>
    <w:p>
      <w:pPr>
        <w:widowControl/>
        <w:numPr>
          <w:ilvl w:val="0"/>
          <w:numId w:val="1"/>
        </w:numPr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支出科目</w:t>
      </w:r>
    </w:p>
    <w:p>
      <w:pPr>
        <w:widowControl/>
        <w:numPr>
          <w:ilvl w:val="0"/>
          <w:numId w:val="0"/>
        </w:numPr>
        <w:spacing w:line="580" w:lineRule="exact"/>
        <w:ind w:firstLine="640" w:firstLineChars="20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一般公共服务支出（类）党委办公厅（室）及相关机构事务（款）一般行政管理事务（项）：指反映行政单位（包括实行公务员管理的事业单位）未单独设置顶级科目的其他项目支出。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一般公共服务支出（类）党委办公厅（室）及相关机构事务（款）机关服务（项）：指反映为行政单位（包括实行公务员管理的事业单位）提供后勤服务的各类后勤服务中心、医务室等附属事业单位的支出。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一般公共服务支出（类）党委办公厅（室）及相关机构事务（款）事业运行（项）：指反映事业单位的基本支出，不包括行政单位（包括实行公务员管理的事业单位）后勤服务中心、医务室等附属事业单位。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一般公共服务支出（类）党委办公厅（室）及相关机构事务（款）其他党委办公厅（室）及相关机构事务（项）：指反映除上述项目以外其他用于党委办公厅（室）及相关机构事务支出。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教育支出（类）普通教育（款）学前教育（项）：指反映各部门举办的学前教育支出。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社会保障和就业支出（类）行政事业单位离退休（款）未归口管理的行政单位离退休支出（项）：指反映未实行归口管理的行政单位（包括实行公务员管理的事业单位）开支的离退休支出。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医疗卫生与计划生育支出（类）医疗保障（款）行政单位医疗（项）：指反映财政部门集中安排的行政单位基本医疗保险缴费的经费，未参加医疗保险的行政单位的公费医疗缴费，按国家规定享受离休人员、红军老战士待遇人员的医疗经费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eastAsia="仿宋_GB2312"/>
          <w:sz w:val="32"/>
          <w:szCs w:val="30"/>
        </w:rPr>
        <w:t>住房保障支出（类）住房改革支出（款）购房补贴（项）：指反映按房改政策规定，行政事业单位向符合条件职工（含离退休人员）、军队（含武警）向转役复原离退休人员发放的用于购买住房的补贴。</w:t>
      </w:r>
    </w:p>
    <w:p>
      <w:pPr>
        <w:widowControl/>
        <w:spacing w:line="580" w:lineRule="exact"/>
        <w:ind w:firstLine="640"/>
        <w:jc w:val="left"/>
        <w:rPr>
          <w:rFonts w:hint="eastAsia" w:ascii="仿宋_GB2312" w:eastAsia="仿宋_GB2312"/>
          <w:sz w:val="32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88AE13"/>
    <w:multiLevelType w:val="singleLevel"/>
    <w:tmpl w:val="4A88AE1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OGVkM2JkMmJjOTgxZTA1NjE4ZTNiZWNkYzE1MTQifQ=="/>
  </w:docVars>
  <w:rsids>
    <w:rsidRoot w:val="00172A27"/>
    <w:rsid w:val="0007421E"/>
    <w:rsid w:val="001018E8"/>
    <w:rsid w:val="001124D1"/>
    <w:rsid w:val="0016165A"/>
    <w:rsid w:val="0018647C"/>
    <w:rsid w:val="001E4DEB"/>
    <w:rsid w:val="00200353"/>
    <w:rsid w:val="00210EA9"/>
    <w:rsid w:val="00213ED1"/>
    <w:rsid w:val="0024676B"/>
    <w:rsid w:val="0025140B"/>
    <w:rsid w:val="002939E3"/>
    <w:rsid w:val="002B5551"/>
    <w:rsid w:val="002C6E10"/>
    <w:rsid w:val="002F3A66"/>
    <w:rsid w:val="003776C8"/>
    <w:rsid w:val="003B58E3"/>
    <w:rsid w:val="003E6C83"/>
    <w:rsid w:val="00462BAE"/>
    <w:rsid w:val="0051228D"/>
    <w:rsid w:val="00551F7F"/>
    <w:rsid w:val="00552A78"/>
    <w:rsid w:val="00617216"/>
    <w:rsid w:val="006C4573"/>
    <w:rsid w:val="00760342"/>
    <w:rsid w:val="00762783"/>
    <w:rsid w:val="00771571"/>
    <w:rsid w:val="00795B99"/>
    <w:rsid w:val="007C7BE8"/>
    <w:rsid w:val="007E07C5"/>
    <w:rsid w:val="00826EBB"/>
    <w:rsid w:val="00850C14"/>
    <w:rsid w:val="0087790F"/>
    <w:rsid w:val="00887EAF"/>
    <w:rsid w:val="00890F8C"/>
    <w:rsid w:val="00894C30"/>
    <w:rsid w:val="008950FB"/>
    <w:rsid w:val="008C5189"/>
    <w:rsid w:val="009A3FD9"/>
    <w:rsid w:val="009A5F59"/>
    <w:rsid w:val="00A71E85"/>
    <w:rsid w:val="00AF145D"/>
    <w:rsid w:val="00B27738"/>
    <w:rsid w:val="00B556CB"/>
    <w:rsid w:val="00B73554"/>
    <w:rsid w:val="00B819FE"/>
    <w:rsid w:val="00B85FD5"/>
    <w:rsid w:val="00BB53DF"/>
    <w:rsid w:val="00BB72B0"/>
    <w:rsid w:val="00BE0664"/>
    <w:rsid w:val="00C02683"/>
    <w:rsid w:val="00C23A7F"/>
    <w:rsid w:val="00CC20C1"/>
    <w:rsid w:val="00D37986"/>
    <w:rsid w:val="00D477AF"/>
    <w:rsid w:val="00D50064"/>
    <w:rsid w:val="00D84CB3"/>
    <w:rsid w:val="00DD5F03"/>
    <w:rsid w:val="00DE31C6"/>
    <w:rsid w:val="00DE3419"/>
    <w:rsid w:val="00E467F8"/>
    <w:rsid w:val="00E660B3"/>
    <w:rsid w:val="00F577BD"/>
    <w:rsid w:val="00F9379F"/>
    <w:rsid w:val="00FB70A0"/>
    <w:rsid w:val="00FF5AA0"/>
    <w:rsid w:val="01F30099"/>
    <w:rsid w:val="02032B11"/>
    <w:rsid w:val="05E07056"/>
    <w:rsid w:val="061D17BE"/>
    <w:rsid w:val="08E84327"/>
    <w:rsid w:val="0A31282F"/>
    <w:rsid w:val="0A7C10BC"/>
    <w:rsid w:val="0F707ABA"/>
    <w:rsid w:val="10F66041"/>
    <w:rsid w:val="16367F6B"/>
    <w:rsid w:val="169575C9"/>
    <w:rsid w:val="17B77F4B"/>
    <w:rsid w:val="1D6935FE"/>
    <w:rsid w:val="22370975"/>
    <w:rsid w:val="289345F7"/>
    <w:rsid w:val="2B201EA3"/>
    <w:rsid w:val="2BF13098"/>
    <w:rsid w:val="2E9823B6"/>
    <w:rsid w:val="30E95D85"/>
    <w:rsid w:val="31196AD1"/>
    <w:rsid w:val="331D60B4"/>
    <w:rsid w:val="38B94CF8"/>
    <w:rsid w:val="4101752B"/>
    <w:rsid w:val="46EF1E5D"/>
    <w:rsid w:val="5038282A"/>
    <w:rsid w:val="505E34F5"/>
    <w:rsid w:val="52693BFC"/>
    <w:rsid w:val="52D63F32"/>
    <w:rsid w:val="54542A31"/>
    <w:rsid w:val="54F619D4"/>
    <w:rsid w:val="56492D07"/>
    <w:rsid w:val="5D5858E5"/>
    <w:rsid w:val="5DCA4203"/>
    <w:rsid w:val="656E7AD7"/>
    <w:rsid w:val="676F5239"/>
    <w:rsid w:val="6AB224FA"/>
    <w:rsid w:val="7227380D"/>
    <w:rsid w:val="737F118B"/>
    <w:rsid w:val="766F1FDF"/>
    <w:rsid w:val="7A3F4588"/>
    <w:rsid w:val="7B9E1D5D"/>
    <w:rsid w:val="7D0461B1"/>
    <w:rsid w:val="7FD90F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宋体"/>
      <w:b/>
      <w:sz w:val="24"/>
    </w:rPr>
  </w:style>
  <w:style w:type="character" w:default="1" w:styleId="9">
    <w:name w:val="Default Paragraph Font"/>
    <w:uiPriority w:val="0"/>
  </w:style>
  <w:style w:type="table" w:default="1" w:styleId="8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qFormat/>
    <w:uiPriority w:val="0"/>
    <w:pPr>
      <w:ind w:left="840" w:leftChars="4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customStyle="1" w:styleId="10">
    <w:name w:val="row_tree_level_4"/>
    <w:basedOn w:val="9"/>
    <w:qFormat/>
    <w:uiPriority w:val="0"/>
  </w:style>
  <w:style w:type="paragraph" w:customStyle="1" w:styleId="11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10</Pages>
  <Words>3597</Words>
  <Characters>3916</Characters>
  <Lines>31</Lines>
  <Paragraphs>8</Paragraphs>
  <TotalTime>48</TotalTime>
  <ScaleCrop>false</ScaleCrop>
  <LinksUpToDate>false</LinksUpToDate>
  <CharactersWithSpaces>3958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2018-02-07T09:15:00Z</dcterms:created>
  <dc:creator>dell</dc:creator>
  <cp:lastModifiedBy>Lenovo</cp:lastModifiedBy>
  <cp:lastPrinted>2016-11-21T09:06:00Z</cp:lastPrinted>
  <dcterms:modified xsi:type="dcterms:W3CDTF">2024-09-24T08:26:31Z</dcterms:modified>
  <dc:title>江西省委办公厅2016年部门预算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4732014E81154128961BBCD433FC95DC_13</vt:lpwstr>
  </property>
</Properties>
</file>