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4066F">
      <w:pPr>
        <w:jc w:val="left"/>
        <w:rPr>
          <w:rFonts w:hint="default" w:ascii="仿宋" w:hAnsi="仿宋" w:eastAsia="仿宋" w:cs="Times New Roman"/>
          <w:b/>
          <w:color w:val="000000"/>
          <w:sz w:val="24"/>
          <w:szCs w:val="24"/>
          <w:u w:val="none" w:color="auto"/>
          <w:lang w:val="en-US" w:eastAsia="zh-CN"/>
        </w:rPr>
      </w:pPr>
      <w:r>
        <w:rPr>
          <w:rFonts w:hint="eastAsia" w:ascii="宋体" w:hAnsi="宋体" w:eastAsia="宋体"/>
          <w:b/>
          <w:color w:val="auto"/>
          <w:sz w:val="24"/>
          <w:szCs w:val="24"/>
        </w:rPr>
        <w:t xml:space="preserve">                         </w:t>
      </w:r>
    </w:p>
    <w:p w14:paraId="6378D28A">
      <w:pPr>
        <w:jc w:val="center"/>
        <w:rPr>
          <w:rFonts w:hint="eastAsia" w:ascii="仿宋" w:hAnsi="仿宋" w:eastAsia="仿宋" w:cs="Times New Roman"/>
          <w:b/>
          <w:color w:val="000000"/>
          <w:sz w:val="24"/>
          <w:szCs w:val="24"/>
          <w:u w:val="none" w:color="auto"/>
          <w:lang w:val="en-US" w:eastAsia="zh-CN"/>
        </w:rPr>
      </w:pPr>
    </w:p>
    <w:p w14:paraId="1ED5E169">
      <w:pPr>
        <w:jc w:val="center"/>
        <w:rPr>
          <w:rFonts w:hint="eastAsia" w:eastAsia="楷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/>
          <w:b/>
          <w:color w:val="auto"/>
          <w:sz w:val="44"/>
          <w:szCs w:val="44"/>
        </w:rPr>
        <w:t>南安乡202</w:t>
      </w:r>
      <w:r>
        <w:rPr>
          <w:rFonts w:hint="eastAsia" w:ascii="宋体" w:hAnsi="宋体" w:eastAsia="宋体"/>
          <w:b/>
          <w:color w:val="auto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/>
          <w:b/>
          <w:color w:val="auto"/>
          <w:sz w:val="44"/>
          <w:szCs w:val="44"/>
        </w:rPr>
        <w:t>年财政预算执行情况和202</w:t>
      </w:r>
      <w:r>
        <w:rPr>
          <w:rFonts w:hint="eastAsia" w:ascii="宋体" w:hAnsi="宋体" w:eastAsia="宋体"/>
          <w:b/>
          <w:color w:val="auto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/>
          <w:b/>
          <w:color w:val="auto"/>
          <w:sz w:val="44"/>
          <w:szCs w:val="44"/>
        </w:rPr>
        <w:t>年财政预算</w:t>
      </w:r>
      <w:r>
        <w:rPr>
          <w:rFonts w:hint="eastAsia" w:ascii="宋体" w:hAnsi="宋体" w:eastAsia="宋体"/>
          <w:b/>
          <w:color w:val="auto"/>
          <w:sz w:val="44"/>
          <w:szCs w:val="44"/>
        </w:rPr>
        <w:t>的报告</w:t>
      </w:r>
      <w:bookmarkStart w:id="0" w:name="_GoBack"/>
      <w:bookmarkEnd w:id="0"/>
    </w:p>
    <w:p w14:paraId="05685A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/>
          <w:color w:val="auto"/>
          <w:sz w:val="32"/>
          <w:szCs w:val="32"/>
        </w:rPr>
      </w:pPr>
    </w:p>
    <w:p w14:paraId="61EEA6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/>
          <w:sz w:val="32"/>
          <w:szCs w:val="32"/>
        </w:rPr>
      </w:pPr>
    </w:p>
    <w:p w14:paraId="0596D3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一、202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年全乡财政预算执行情况</w:t>
      </w:r>
    </w:p>
    <w:p w14:paraId="60499D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2024年是党的二十届三中全会胜利召开之年，是实现“十四五”规划目标任务的关键一年。这一年来，面对外部压力加大、内部困难增多的复杂严峻形势，全</w:t>
      </w:r>
      <w:r>
        <w:rPr>
          <w:rFonts w:hint="eastAsia"/>
          <w:color w:val="auto"/>
          <w:sz w:val="32"/>
          <w:szCs w:val="32"/>
          <w:lang w:val="en-US" w:eastAsia="zh-CN"/>
        </w:rPr>
        <w:t>乡</w:t>
      </w:r>
      <w:r>
        <w:rPr>
          <w:rFonts w:hint="eastAsia"/>
          <w:color w:val="auto"/>
          <w:sz w:val="32"/>
          <w:szCs w:val="32"/>
        </w:rPr>
        <w:t>财政工作坚持以习近平新时代中国特色社会主义思想为指导，全面贯彻落实党的二十大和二十届二中、三中全会精神，深入学习贯彻</w:t>
      </w:r>
      <w:r>
        <w:rPr>
          <w:rFonts w:hint="eastAsia" w:ascii="仿宋_GB2312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习近平总书记考察江西重要讲话精神</w:t>
      </w:r>
      <w:r>
        <w:rPr>
          <w:rFonts w:hint="eastAsia"/>
          <w:color w:val="auto"/>
          <w:sz w:val="32"/>
          <w:szCs w:val="32"/>
        </w:rPr>
        <w:t>，在</w:t>
      </w:r>
      <w:r>
        <w:rPr>
          <w:rFonts w:hint="eastAsia"/>
          <w:color w:val="auto"/>
          <w:sz w:val="32"/>
          <w:szCs w:val="32"/>
          <w:lang w:val="en-US" w:eastAsia="zh-CN"/>
        </w:rPr>
        <w:t>乡</w:t>
      </w:r>
      <w:r>
        <w:rPr>
          <w:rFonts w:hint="eastAsia"/>
          <w:color w:val="auto"/>
          <w:sz w:val="32"/>
          <w:szCs w:val="32"/>
        </w:rPr>
        <w:t>党委、</w:t>
      </w:r>
      <w:r>
        <w:rPr>
          <w:rFonts w:hint="eastAsia"/>
          <w:color w:val="auto"/>
          <w:sz w:val="32"/>
          <w:szCs w:val="32"/>
          <w:lang w:val="en-US" w:eastAsia="zh-CN"/>
        </w:rPr>
        <w:t>乡</w:t>
      </w:r>
      <w:r>
        <w:rPr>
          <w:rFonts w:hint="eastAsia"/>
          <w:color w:val="auto"/>
          <w:sz w:val="32"/>
          <w:szCs w:val="32"/>
        </w:rPr>
        <w:t>政府的正确领导和</w:t>
      </w:r>
      <w:r>
        <w:rPr>
          <w:rFonts w:hint="eastAsia"/>
          <w:color w:val="auto"/>
          <w:sz w:val="32"/>
          <w:szCs w:val="32"/>
          <w:lang w:val="en-US" w:eastAsia="zh-CN"/>
        </w:rPr>
        <w:t>乡</w:t>
      </w:r>
      <w:r>
        <w:rPr>
          <w:rFonts w:hint="eastAsia"/>
          <w:color w:val="auto"/>
          <w:sz w:val="32"/>
          <w:szCs w:val="32"/>
        </w:rPr>
        <w:t>人大的依法监督下，坚持稳字当头、稳中求进，坚持迎难而上、奋发进取，持续强化预算执行管理，着力加强“三保”和重点领域保障，把</w:t>
      </w:r>
      <w:r>
        <w:rPr>
          <w:rFonts w:hint="eastAsia"/>
          <w:color w:val="auto"/>
          <w:sz w:val="32"/>
          <w:szCs w:val="32"/>
          <w:lang w:eastAsia="zh-CN"/>
        </w:rPr>
        <w:t>财政资金使用</w:t>
      </w:r>
      <w:r>
        <w:rPr>
          <w:rFonts w:hint="eastAsia"/>
          <w:color w:val="auto"/>
          <w:sz w:val="32"/>
          <w:szCs w:val="32"/>
        </w:rPr>
        <w:t>在刀刃上，有力促进了全</w:t>
      </w:r>
      <w:r>
        <w:rPr>
          <w:rFonts w:hint="eastAsia"/>
          <w:color w:val="auto"/>
          <w:sz w:val="32"/>
          <w:szCs w:val="32"/>
          <w:lang w:val="en-US" w:eastAsia="zh-CN"/>
        </w:rPr>
        <w:t>乡</w:t>
      </w:r>
      <w:r>
        <w:rPr>
          <w:rFonts w:hint="eastAsia"/>
          <w:color w:val="auto"/>
          <w:sz w:val="32"/>
          <w:szCs w:val="32"/>
        </w:rPr>
        <w:t>经济发展和各项事业的进步。</w:t>
      </w:r>
    </w:p>
    <w:p w14:paraId="540A77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年全乡公共财政预算收入共计</w:t>
      </w:r>
      <w:r>
        <w:rPr>
          <w:rFonts w:hint="eastAsia"/>
          <w:sz w:val="32"/>
          <w:szCs w:val="32"/>
          <w:lang w:val="en-US" w:eastAsia="zh-CN"/>
        </w:rPr>
        <w:t>5152.7</w:t>
      </w:r>
      <w:r>
        <w:rPr>
          <w:rFonts w:hint="eastAsia"/>
          <w:sz w:val="32"/>
          <w:szCs w:val="32"/>
        </w:rPr>
        <w:t>万元，其中地方收入主要项目完成情况如下：</w:t>
      </w:r>
    </w:p>
    <w:p w14:paraId="363541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（一）地方税收收入：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2581.7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万元。具体为：</w:t>
      </w:r>
    </w:p>
    <w:p w14:paraId="5BF021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增值税1</w:t>
      </w:r>
      <w:r>
        <w:rPr>
          <w:rFonts w:hint="eastAsia"/>
          <w:sz w:val="32"/>
          <w:szCs w:val="32"/>
          <w:lang w:val="en-US" w:eastAsia="zh-CN"/>
        </w:rPr>
        <w:t>808.4</w:t>
      </w:r>
      <w:r>
        <w:rPr>
          <w:rFonts w:hint="eastAsia"/>
          <w:sz w:val="32"/>
          <w:szCs w:val="32"/>
        </w:rPr>
        <w:t>万元；</w:t>
      </w:r>
    </w:p>
    <w:p w14:paraId="0E60B2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企业所得税1</w:t>
      </w:r>
      <w:r>
        <w:rPr>
          <w:rFonts w:hint="eastAsia"/>
          <w:sz w:val="32"/>
          <w:szCs w:val="32"/>
          <w:lang w:val="en-US" w:eastAsia="zh-CN"/>
        </w:rPr>
        <w:t>78.8</w:t>
      </w:r>
      <w:r>
        <w:rPr>
          <w:rFonts w:hint="eastAsia"/>
          <w:sz w:val="32"/>
          <w:szCs w:val="32"/>
        </w:rPr>
        <w:t>万元；</w:t>
      </w:r>
    </w:p>
    <w:p w14:paraId="7D395F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个人所得税</w:t>
      </w:r>
      <w:r>
        <w:rPr>
          <w:rFonts w:hint="eastAsia"/>
          <w:sz w:val="32"/>
          <w:szCs w:val="32"/>
          <w:lang w:val="en-US" w:eastAsia="zh-CN"/>
        </w:rPr>
        <w:t>347.2</w:t>
      </w:r>
      <w:r>
        <w:rPr>
          <w:rFonts w:hint="eastAsia"/>
          <w:sz w:val="32"/>
          <w:szCs w:val="32"/>
        </w:rPr>
        <w:t>万元；</w:t>
      </w:r>
    </w:p>
    <w:p w14:paraId="6D3E73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城建税</w:t>
      </w:r>
      <w:r>
        <w:rPr>
          <w:rFonts w:hint="eastAsia"/>
          <w:sz w:val="32"/>
          <w:szCs w:val="32"/>
          <w:lang w:val="en-US" w:eastAsia="zh-CN"/>
        </w:rPr>
        <w:t>43.7</w:t>
      </w:r>
      <w:r>
        <w:rPr>
          <w:rFonts w:hint="eastAsia"/>
          <w:sz w:val="32"/>
          <w:szCs w:val="32"/>
        </w:rPr>
        <w:t>万元；</w:t>
      </w:r>
    </w:p>
    <w:p w14:paraId="6C0F93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印花税</w:t>
      </w:r>
      <w:r>
        <w:rPr>
          <w:rFonts w:hint="eastAsia"/>
          <w:sz w:val="32"/>
          <w:szCs w:val="32"/>
          <w:lang w:val="en-US" w:eastAsia="zh-CN"/>
        </w:rPr>
        <w:t>62.8</w:t>
      </w:r>
      <w:r>
        <w:rPr>
          <w:rFonts w:hint="eastAsia"/>
          <w:sz w:val="32"/>
          <w:szCs w:val="32"/>
        </w:rPr>
        <w:t>万元；</w:t>
      </w:r>
    </w:p>
    <w:p w14:paraId="7B6A9D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土地增值税</w:t>
      </w:r>
      <w:r>
        <w:rPr>
          <w:rFonts w:hint="eastAsia"/>
          <w:sz w:val="32"/>
          <w:szCs w:val="32"/>
          <w:lang w:val="en-US" w:eastAsia="zh-CN"/>
        </w:rPr>
        <w:t>137.9</w:t>
      </w:r>
      <w:r>
        <w:rPr>
          <w:rFonts w:hint="eastAsia"/>
          <w:sz w:val="32"/>
          <w:szCs w:val="32"/>
        </w:rPr>
        <w:t>万元；</w:t>
      </w:r>
    </w:p>
    <w:p w14:paraId="5D2D46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环保税</w:t>
      </w:r>
      <w:r>
        <w:rPr>
          <w:rFonts w:hint="eastAsia"/>
          <w:sz w:val="32"/>
          <w:szCs w:val="32"/>
          <w:lang w:val="en-US" w:eastAsia="zh-CN"/>
        </w:rPr>
        <w:t>1.1</w:t>
      </w:r>
      <w:r>
        <w:rPr>
          <w:rFonts w:hint="eastAsia"/>
          <w:sz w:val="32"/>
          <w:szCs w:val="32"/>
        </w:rPr>
        <w:t>万元；</w:t>
      </w:r>
    </w:p>
    <w:p w14:paraId="6F2AA498"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b w:val="0"/>
          <w:bCs w:val="0"/>
          <w:sz w:val="32"/>
          <w:szCs w:val="32"/>
          <w:u w:val="none"/>
        </w:rPr>
      </w:pPr>
      <w:r>
        <w:rPr>
          <w:rFonts w:hint="eastAsia" w:ascii="仿宋_GB2312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b w:val="0"/>
          <w:bCs w:val="0"/>
          <w:sz w:val="32"/>
          <w:szCs w:val="32"/>
          <w:u w:val="none"/>
        </w:rPr>
        <w:t>8</w:t>
      </w:r>
      <w:r>
        <w:rPr>
          <w:rFonts w:hint="eastAsia" w:ascii="仿宋_GB2312" w:hAnsi="Times New Roman" w:eastAsia="仿宋_GB2312" w:cs="Times New Roman"/>
          <w:b w:val="0"/>
          <w:bCs w:val="0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b w:val="0"/>
          <w:bCs w:val="0"/>
          <w:sz w:val="32"/>
          <w:szCs w:val="32"/>
          <w:u w:val="none"/>
        </w:rPr>
        <w:t>耕地占用税</w:t>
      </w:r>
      <w:r>
        <w:rPr>
          <w:rFonts w:hint="eastAsia" w:ascii="仿宋_GB2312" w:hAnsi="Times New Roman" w:eastAsia="仿宋_GB2312" w:cs="Times New Roman"/>
          <w:b w:val="0"/>
          <w:bCs w:val="0"/>
          <w:sz w:val="32"/>
          <w:szCs w:val="32"/>
          <w:u w:val="none"/>
          <w:lang w:val="en-US" w:eastAsia="zh-CN"/>
        </w:rPr>
        <w:t>0.7</w:t>
      </w:r>
      <w:r>
        <w:rPr>
          <w:rFonts w:hint="eastAsia" w:ascii="仿宋_GB2312" w:hAnsi="Times New Roman" w:eastAsia="仿宋_GB2312" w:cs="Times New Roman"/>
          <w:b w:val="0"/>
          <w:bCs w:val="0"/>
          <w:sz w:val="32"/>
          <w:szCs w:val="32"/>
          <w:u w:val="none"/>
        </w:rPr>
        <w:t>万元；</w:t>
      </w:r>
    </w:p>
    <w:p w14:paraId="0B4EAA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eastAsia="仿宋_GB2312"/>
          <w:lang w:val="en-US" w:eastAsia="zh-CN"/>
        </w:rPr>
      </w:pPr>
      <w:r>
        <w:rPr>
          <w:rFonts w:hint="eastAsia" w:hAnsi="Times New Roman" w:cs="Times New Roman"/>
          <w:b w:val="0"/>
          <w:bCs w:val="0"/>
          <w:sz w:val="32"/>
          <w:szCs w:val="32"/>
          <w:u w:val="none"/>
          <w:lang w:val="en-US" w:eastAsia="zh-CN"/>
        </w:rPr>
        <w:t xml:space="preserve">    （9）房产税 1.1万元。</w:t>
      </w:r>
    </w:p>
    <w:p w14:paraId="06CE28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（二）非税收入：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139.2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万元（其中教育费附加收入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106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万元）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</w:p>
    <w:p w14:paraId="601A7E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（三）补助收入：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1931.7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万元。</w:t>
      </w:r>
    </w:p>
    <w:p w14:paraId="30F87E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税收返还补助448.8万元、体制补助</w:t>
      </w:r>
      <w:r>
        <w:rPr>
          <w:rFonts w:hint="eastAsia"/>
          <w:sz w:val="32"/>
          <w:szCs w:val="32"/>
          <w:lang w:val="en-US" w:eastAsia="zh-CN"/>
        </w:rPr>
        <w:t>205</w:t>
      </w:r>
      <w:r>
        <w:rPr>
          <w:rFonts w:hint="eastAsia"/>
          <w:sz w:val="32"/>
          <w:szCs w:val="32"/>
        </w:rPr>
        <w:t>万元、免征农业税转移支付补助133.8万元、专项补助</w:t>
      </w:r>
      <w:r>
        <w:rPr>
          <w:rFonts w:hint="eastAsia"/>
          <w:sz w:val="32"/>
          <w:szCs w:val="32"/>
          <w:lang w:val="en-US" w:eastAsia="zh-CN"/>
        </w:rPr>
        <w:t>1107.6</w:t>
      </w:r>
      <w:r>
        <w:rPr>
          <w:rFonts w:hint="eastAsia"/>
          <w:sz w:val="32"/>
          <w:szCs w:val="32"/>
        </w:rPr>
        <w:t>万元、其他补助3</w:t>
      </w:r>
      <w:r>
        <w:rPr>
          <w:rFonts w:hint="eastAsia"/>
          <w:sz w:val="32"/>
          <w:szCs w:val="32"/>
          <w:lang w:val="en-US" w:eastAsia="zh-CN"/>
        </w:rPr>
        <w:t>6.5</w:t>
      </w:r>
      <w:r>
        <w:rPr>
          <w:rFonts w:hint="eastAsia"/>
          <w:sz w:val="32"/>
          <w:szCs w:val="32"/>
        </w:rPr>
        <w:t>万元。</w:t>
      </w:r>
    </w:p>
    <w:p w14:paraId="6665BD91"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ascii="仿宋_GB2312" w:hAnsi="Times New Roman" w:eastAsia="仿宋_GB2312" w:cs="Times New Roman"/>
          <w:b w:val="0"/>
          <w:bCs w:val="0"/>
          <w:color w:val="000000"/>
          <w:sz w:val="32"/>
          <w:szCs w:val="32"/>
          <w:u w:val="none" w:color="00000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  <w:u w:val="none" w:color="000000"/>
          <w:lang w:val="en-US" w:eastAsia="zh-CN" w:bidi="ar-SA"/>
        </w:rPr>
        <w:t>（四）上年结转收入：500.1万元。</w:t>
      </w:r>
    </w:p>
    <w:p w14:paraId="2652D5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2023年我乡安排一般预算支出</w:t>
      </w:r>
      <w:r>
        <w:rPr>
          <w:rFonts w:hint="eastAsia"/>
          <w:sz w:val="32"/>
          <w:szCs w:val="32"/>
          <w:lang w:val="en-US" w:eastAsia="zh-CN"/>
        </w:rPr>
        <w:t>4276.4</w:t>
      </w:r>
      <w:r>
        <w:rPr>
          <w:rFonts w:hint="eastAsia"/>
          <w:sz w:val="32"/>
          <w:szCs w:val="32"/>
        </w:rPr>
        <w:t>万元。具体项目为：</w:t>
      </w:r>
    </w:p>
    <w:p w14:paraId="3726B9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（1）一般公共服务支出</w:t>
      </w:r>
      <w:r>
        <w:rPr>
          <w:rFonts w:hint="eastAsia"/>
          <w:sz w:val="32"/>
          <w:szCs w:val="32"/>
          <w:lang w:val="en-US" w:eastAsia="zh-CN"/>
        </w:rPr>
        <w:t>1109.6</w:t>
      </w:r>
      <w:r>
        <w:rPr>
          <w:rFonts w:hint="eastAsia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</w:rPr>
        <w:t>其中</w:t>
      </w:r>
      <w:r>
        <w:rPr>
          <w:rFonts w:hint="eastAsia"/>
          <w:color w:val="auto"/>
          <w:sz w:val="32"/>
          <w:szCs w:val="32"/>
          <w:lang w:eastAsia="zh-CN"/>
        </w:rPr>
        <w:t>：</w:t>
      </w:r>
      <w:r>
        <w:rPr>
          <w:rFonts w:hint="eastAsia"/>
          <w:color w:val="auto"/>
          <w:sz w:val="32"/>
          <w:szCs w:val="32"/>
        </w:rPr>
        <w:t>政府办公室及相关机构支出</w:t>
      </w:r>
      <w:r>
        <w:rPr>
          <w:rFonts w:hint="eastAsia"/>
          <w:color w:val="auto"/>
          <w:sz w:val="32"/>
          <w:szCs w:val="32"/>
          <w:lang w:val="en-US" w:eastAsia="zh-CN"/>
        </w:rPr>
        <w:t>849.6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，</w:t>
      </w:r>
      <w:r>
        <w:rPr>
          <w:rFonts w:hint="eastAsia"/>
          <w:color w:val="auto"/>
          <w:sz w:val="32"/>
          <w:szCs w:val="32"/>
        </w:rPr>
        <w:t>其他一般公共服务支出</w:t>
      </w:r>
      <w:r>
        <w:rPr>
          <w:rFonts w:hint="eastAsia"/>
          <w:color w:val="auto"/>
          <w:sz w:val="32"/>
          <w:szCs w:val="32"/>
          <w:lang w:val="en-US" w:eastAsia="zh-CN"/>
        </w:rPr>
        <w:t>260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）</w:t>
      </w:r>
      <w:r>
        <w:rPr>
          <w:rFonts w:hint="eastAsia"/>
          <w:color w:val="auto"/>
          <w:sz w:val="32"/>
          <w:szCs w:val="32"/>
        </w:rPr>
        <w:t>；</w:t>
      </w:r>
    </w:p>
    <w:p w14:paraId="7F2EED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）社会保障和就业</w:t>
      </w:r>
      <w:r>
        <w:rPr>
          <w:rFonts w:hint="eastAsia"/>
          <w:sz w:val="32"/>
          <w:szCs w:val="32"/>
          <w:lang w:val="en-US" w:eastAsia="zh-CN"/>
        </w:rPr>
        <w:t>193.1</w:t>
      </w:r>
      <w:r>
        <w:rPr>
          <w:rFonts w:hint="eastAsia"/>
          <w:sz w:val="32"/>
          <w:szCs w:val="32"/>
        </w:rPr>
        <w:t>万</w:t>
      </w:r>
      <w:r>
        <w:rPr>
          <w:rFonts w:hint="eastAsia"/>
          <w:color w:val="auto"/>
          <w:sz w:val="32"/>
          <w:szCs w:val="32"/>
        </w:rPr>
        <w:t>元</w:t>
      </w: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</w:rPr>
        <w:t>其中</w:t>
      </w:r>
      <w:r>
        <w:rPr>
          <w:rFonts w:hint="eastAsia"/>
          <w:color w:val="auto"/>
          <w:sz w:val="32"/>
          <w:szCs w:val="32"/>
          <w:lang w:eastAsia="zh-CN"/>
        </w:rPr>
        <w:t>：</w:t>
      </w:r>
      <w:r>
        <w:rPr>
          <w:rFonts w:hint="eastAsia"/>
          <w:color w:val="auto"/>
          <w:sz w:val="32"/>
          <w:szCs w:val="32"/>
        </w:rPr>
        <w:t>机关事业单位基本养老保险缴费支出</w:t>
      </w:r>
      <w:r>
        <w:rPr>
          <w:rFonts w:hint="eastAsia"/>
          <w:color w:val="auto"/>
          <w:sz w:val="32"/>
          <w:szCs w:val="32"/>
          <w:lang w:val="en-US" w:eastAsia="zh-CN"/>
        </w:rPr>
        <w:t>143</w:t>
      </w:r>
      <w:r>
        <w:rPr>
          <w:rFonts w:hint="eastAsia"/>
          <w:color w:val="auto"/>
          <w:sz w:val="32"/>
          <w:szCs w:val="32"/>
        </w:rPr>
        <w:t>万元，社会福利</w:t>
      </w:r>
      <w:r>
        <w:rPr>
          <w:rFonts w:hint="eastAsia"/>
          <w:color w:val="auto"/>
          <w:sz w:val="32"/>
          <w:szCs w:val="32"/>
          <w:lang w:val="en-US" w:eastAsia="zh-CN"/>
        </w:rPr>
        <w:t>17</w:t>
      </w:r>
      <w:r>
        <w:rPr>
          <w:rFonts w:hint="eastAsia"/>
          <w:color w:val="auto"/>
          <w:sz w:val="32"/>
          <w:szCs w:val="32"/>
        </w:rPr>
        <w:t>万元，其他社会保障和就业支出</w:t>
      </w:r>
      <w:r>
        <w:rPr>
          <w:rFonts w:hint="eastAsia"/>
          <w:color w:val="auto"/>
          <w:sz w:val="32"/>
          <w:szCs w:val="32"/>
          <w:lang w:val="en-US" w:eastAsia="zh-CN"/>
        </w:rPr>
        <w:t>33.1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）</w:t>
      </w:r>
      <w:r>
        <w:rPr>
          <w:rFonts w:hint="eastAsia"/>
          <w:color w:val="auto"/>
          <w:sz w:val="32"/>
          <w:szCs w:val="32"/>
        </w:rPr>
        <w:t>；</w:t>
      </w:r>
    </w:p>
    <w:p w14:paraId="616075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）卫生健康支出</w:t>
      </w:r>
      <w:r>
        <w:rPr>
          <w:rFonts w:hint="eastAsia"/>
          <w:sz w:val="32"/>
          <w:szCs w:val="32"/>
          <w:lang w:val="en-US" w:eastAsia="zh-CN"/>
        </w:rPr>
        <w:t>16</w:t>
      </w:r>
      <w:r>
        <w:rPr>
          <w:rFonts w:hint="eastAsia"/>
          <w:sz w:val="32"/>
          <w:szCs w:val="32"/>
        </w:rPr>
        <w:t>万元</w:t>
      </w:r>
      <w:r>
        <w:rPr>
          <w:rFonts w:hint="eastAsia"/>
          <w:sz w:val="32"/>
          <w:szCs w:val="32"/>
          <w:lang w:eastAsia="zh-CN"/>
        </w:rPr>
        <w:t>；</w:t>
      </w:r>
    </w:p>
    <w:p w14:paraId="740E66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）节能环保支出2万元；</w:t>
      </w:r>
    </w:p>
    <w:p w14:paraId="6AFF8F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）城乡社区支出</w:t>
      </w:r>
      <w:r>
        <w:rPr>
          <w:rFonts w:hint="eastAsia"/>
          <w:sz w:val="32"/>
          <w:szCs w:val="32"/>
          <w:lang w:val="en-US" w:eastAsia="zh-CN"/>
        </w:rPr>
        <w:t>143.7</w:t>
      </w:r>
      <w:r>
        <w:rPr>
          <w:rFonts w:hint="eastAsia"/>
          <w:sz w:val="32"/>
          <w:szCs w:val="32"/>
        </w:rPr>
        <w:t>万元</w:t>
      </w:r>
      <w:r>
        <w:rPr>
          <w:rFonts w:hint="eastAsia"/>
          <w:sz w:val="32"/>
          <w:szCs w:val="32"/>
          <w:lang w:eastAsia="zh-CN"/>
        </w:rPr>
        <w:t>；</w:t>
      </w:r>
    </w:p>
    <w:p w14:paraId="0F7C40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color w:val="4874CB" w:themeColor="accent1"/>
          <w:sz w:val="32"/>
          <w:szCs w:val="32"/>
          <w14:textFill>
            <w14:solidFill>
              <w14:schemeClr w14:val="accent1"/>
            </w14:solidFill>
          </w14:textFill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）农林水支出</w:t>
      </w:r>
      <w:r>
        <w:rPr>
          <w:rFonts w:hint="eastAsia"/>
          <w:sz w:val="32"/>
          <w:szCs w:val="32"/>
          <w:lang w:val="en-US" w:eastAsia="zh-CN"/>
        </w:rPr>
        <w:t>1315.1</w:t>
      </w:r>
      <w:r>
        <w:rPr>
          <w:rFonts w:hint="eastAsia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</w:rPr>
        <w:t>其中</w:t>
      </w:r>
      <w:r>
        <w:rPr>
          <w:rFonts w:hint="eastAsia"/>
          <w:color w:val="auto"/>
          <w:sz w:val="32"/>
          <w:szCs w:val="32"/>
          <w:lang w:eastAsia="zh-CN"/>
        </w:rPr>
        <w:t>：</w:t>
      </w:r>
      <w:r>
        <w:rPr>
          <w:rFonts w:hint="eastAsia"/>
          <w:color w:val="auto"/>
          <w:sz w:val="32"/>
          <w:szCs w:val="32"/>
        </w:rPr>
        <w:t>农业农村</w:t>
      </w:r>
      <w:r>
        <w:rPr>
          <w:rFonts w:hint="eastAsia"/>
          <w:color w:val="auto"/>
          <w:sz w:val="32"/>
          <w:szCs w:val="32"/>
          <w:lang w:val="en-US" w:eastAsia="zh-CN"/>
        </w:rPr>
        <w:t>882.46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，</w:t>
      </w:r>
      <w:r>
        <w:rPr>
          <w:rFonts w:hint="eastAsia"/>
          <w:color w:val="auto"/>
          <w:sz w:val="32"/>
          <w:szCs w:val="32"/>
        </w:rPr>
        <w:t>巩固脱贫衔接乡村振兴支出</w:t>
      </w:r>
      <w:r>
        <w:rPr>
          <w:rFonts w:hint="eastAsia"/>
          <w:color w:val="auto"/>
          <w:sz w:val="32"/>
          <w:szCs w:val="32"/>
          <w:lang w:val="en-US" w:eastAsia="zh-CN"/>
        </w:rPr>
        <w:t>422.64</w:t>
      </w:r>
      <w:r>
        <w:rPr>
          <w:rFonts w:hint="eastAsia"/>
          <w:color w:val="auto"/>
          <w:sz w:val="32"/>
          <w:szCs w:val="32"/>
        </w:rPr>
        <w:t>万元，农业综合改革</w:t>
      </w:r>
      <w:r>
        <w:rPr>
          <w:rFonts w:hint="eastAsia"/>
          <w:color w:val="auto"/>
          <w:sz w:val="32"/>
          <w:szCs w:val="32"/>
          <w:lang w:val="en-US" w:eastAsia="zh-CN"/>
        </w:rPr>
        <w:t>10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）；</w:t>
      </w:r>
    </w:p>
    <w:p w14:paraId="2748F0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）资源勘探信息等支出</w:t>
      </w:r>
      <w:r>
        <w:rPr>
          <w:rFonts w:hint="eastAsia"/>
          <w:sz w:val="32"/>
          <w:szCs w:val="32"/>
          <w:lang w:val="en-US" w:eastAsia="zh-CN"/>
        </w:rPr>
        <w:t>1319.5</w:t>
      </w:r>
      <w:r>
        <w:rPr>
          <w:rFonts w:hint="eastAsia"/>
          <w:sz w:val="32"/>
          <w:szCs w:val="32"/>
        </w:rPr>
        <w:t>万元（支持中小企业发展和管理支出</w:t>
      </w:r>
      <w:r>
        <w:rPr>
          <w:rFonts w:hint="eastAsia"/>
          <w:sz w:val="32"/>
          <w:szCs w:val="32"/>
          <w:lang w:val="en-US" w:eastAsia="zh-CN"/>
        </w:rPr>
        <w:t>1319.5</w:t>
      </w:r>
      <w:r>
        <w:rPr>
          <w:rFonts w:hint="eastAsia"/>
          <w:sz w:val="32"/>
          <w:szCs w:val="32"/>
        </w:rPr>
        <w:t>万元）；</w:t>
      </w:r>
    </w:p>
    <w:p w14:paraId="1B2487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）住房保障支出11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万元；</w:t>
      </w:r>
    </w:p>
    <w:p w14:paraId="025A25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hAnsi="Times New Roman" w:eastAsia="仿宋_GB2312" w:cs="Times New Roman"/>
          <w:sz w:val="32"/>
          <w:szCs w:val="32"/>
          <w:lang w:eastAsia="zh-CN"/>
        </w:rPr>
      </w:pPr>
      <w:r>
        <w:rPr>
          <w:rFonts w:hint="eastAsia" w:hAnsi="Times New Roman" w:cs="Times New Roman"/>
          <w:sz w:val="32"/>
          <w:szCs w:val="32"/>
        </w:rPr>
        <w:t>（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9</w:t>
      </w:r>
      <w:r>
        <w:rPr>
          <w:rFonts w:hint="eastAsia" w:hAnsi="Times New Roman" w:cs="Times New Roman"/>
          <w:sz w:val="32"/>
          <w:szCs w:val="32"/>
        </w:rPr>
        <w:t>）文化旅游体育与传媒支出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10</w:t>
      </w:r>
      <w:r>
        <w:rPr>
          <w:rFonts w:hint="eastAsia" w:hAnsi="Times New Roman" w:cs="Times New Roman"/>
          <w:sz w:val="32"/>
          <w:szCs w:val="32"/>
        </w:rPr>
        <w:t>万元</w:t>
      </w:r>
      <w:r>
        <w:rPr>
          <w:rFonts w:hint="eastAsia" w:hAnsi="Times New Roman" w:cs="Times New Roman"/>
          <w:sz w:val="32"/>
          <w:szCs w:val="32"/>
          <w:lang w:eastAsia="zh-CN"/>
        </w:rPr>
        <w:t>；</w:t>
      </w:r>
    </w:p>
    <w:p w14:paraId="0FD01C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（1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/>
          <w:sz w:val="32"/>
          <w:szCs w:val="32"/>
        </w:rPr>
        <w:t>）科学技术支出</w:t>
      </w:r>
      <w:r>
        <w:rPr>
          <w:rFonts w:hint="eastAsia"/>
          <w:sz w:val="32"/>
          <w:szCs w:val="32"/>
          <w:lang w:val="en-US" w:eastAsia="zh-CN"/>
        </w:rPr>
        <w:t>50</w:t>
      </w:r>
      <w:r>
        <w:rPr>
          <w:rFonts w:hint="eastAsia"/>
          <w:sz w:val="32"/>
          <w:szCs w:val="32"/>
        </w:rPr>
        <w:t>万元</w:t>
      </w:r>
      <w:r>
        <w:rPr>
          <w:rFonts w:hint="eastAsia"/>
          <w:sz w:val="32"/>
          <w:szCs w:val="32"/>
          <w:lang w:eastAsia="zh-CN"/>
        </w:rPr>
        <w:t>；</w:t>
      </w:r>
    </w:p>
    <w:p w14:paraId="5CBD552F">
      <w:pPr>
        <w:pStyle w:val="2"/>
        <w:pageBreakBefore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 w:cs="仿宋"/>
          <w:b w:val="0"/>
          <w:bCs w:val="0"/>
          <w:u w:val="none" w:color="auto"/>
          <w:lang w:val="en-US" w:eastAsia="zh-CN"/>
        </w:rPr>
      </w:pPr>
      <w:r>
        <w:rPr>
          <w:rFonts w:hint="eastAsia"/>
          <w:b w:val="0"/>
          <w:bCs w:val="0"/>
          <w:u w:val="non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u w:val="none" w:color="auto"/>
          <w:lang w:val="en-US" w:eastAsia="zh-CN"/>
        </w:rPr>
        <w:t>（11）自然资源海洋气象等支出0.8万元</w:t>
      </w:r>
    </w:p>
    <w:p w14:paraId="7897B0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（1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）其他支出1.6万元</w:t>
      </w:r>
      <w:r>
        <w:rPr>
          <w:rFonts w:hint="eastAsia"/>
          <w:sz w:val="32"/>
          <w:szCs w:val="32"/>
          <w:lang w:eastAsia="zh-CN"/>
        </w:rPr>
        <w:t>。</w:t>
      </w:r>
    </w:p>
    <w:p w14:paraId="0C51CF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年预算执行最终结果及平衡情况：地方财政收入</w:t>
      </w:r>
      <w:r>
        <w:rPr>
          <w:rFonts w:hint="eastAsia"/>
          <w:sz w:val="32"/>
          <w:szCs w:val="32"/>
          <w:lang w:val="en-US" w:eastAsia="zh-CN"/>
        </w:rPr>
        <w:t>2720.9</w:t>
      </w:r>
      <w:r>
        <w:rPr>
          <w:rFonts w:hint="eastAsia"/>
          <w:sz w:val="32"/>
          <w:szCs w:val="32"/>
        </w:rPr>
        <w:t>，补助收入</w:t>
      </w:r>
      <w:r>
        <w:rPr>
          <w:rFonts w:hint="eastAsia"/>
          <w:sz w:val="32"/>
          <w:szCs w:val="32"/>
          <w:lang w:val="en-US" w:eastAsia="zh-CN"/>
        </w:rPr>
        <w:t>1931.7</w:t>
      </w:r>
      <w:r>
        <w:rPr>
          <w:rFonts w:hint="eastAsia"/>
          <w:sz w:val="32"/>
          <w:szCs w:val="32"/>
        </w:rPr>
        <w:t>万元，上年结转收入</w:t>
      </w:r>
      <w:r>
        <w:rPr>
          <w:rFonts w:hint="eastAsia"/>
          <w:sz w:val="32"/>
          <w:szCs w:val="32"/>
          <w:lang w:val="en-US" w:eastAsia="zh-CN"/>
        </w:rPr>
        <w:t>500.1</w:t>
      </w:r>
      <w:r>
        <w:rPr>
          <w:rFonts w:hint="eastAsia"/>
          <w:sz w:val="32"/>
          <w:szCs w:val="32"/>
        </w:rPr>
        <w:t>万元，全乡公共财政预算收入共计</w:t>
      </w:r>
      <w:r>
        <w:rPr>
          <w:rFonts w:hint="eastAsia"/>
          <w:sz w:val="32"/>
          <w:szCs w:val="32"/>
          <w:lang w:val="en-US" w:eastAsia="zh-CN"/>
        </w:rPr>
        <w:t>5152.7</w:t>
      </w:r>
      <w:r>
        <w:rPr>
          <w:rFonts w:hint="eastAsia"/>
          <w:sz w:val="32"/>
          <w:szCs w:val="32"/>
        </w:rPr>
        <w:t>万元。202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年预算支出</w:t>
      </w:r>
      <w:r>
        <w:rPr>
          <w:rFonts w:hint="eastAsia"/>
          <w:sz w:val="32"/>
          <w:szCs w:val="32"/>
          <w:lang w:val="en-US" w:eastAsia="zh-CN"/>
        </w:rPr>
        <w:t>4276.4</w:t>
      </w:r>
      <w:r>
        <w:rPr>
          <w:rFonts w:hint="eastAsia"/>
          <w:sz w:val="32"/>
          <w:szCs w:val="32"/>
        </w:rPr>
        <w:t>万元，上解支出</w:t>
      </w:r>
      <w:r>
        <w:rPr>
          <w:rFonts w:hint="eastAsia"/>
          <w:sz w:val="32"/>
          <w:szCs w:val="32"/>
          <w:lang w:val="en-US" w:eastAsia="zh-CN"/>
        </w:rPr>
        <w:t>230.9</w:t>
      </w:r>
      <w:r>
        <w:rPr>
          <w:rFonts w:hint="eastAsia"/>
          <w:sz w:val="32"/>
          <w:szCs w:val="32"/>
        </w:rPr>
        <w:t>万元，</w:t>
      </w:r>
      <w:r>
        <w:rPr>
          <w:rFonts w:hint="eastAsia"/>
          <w:sz w:val="32"/>
          <w:szCs w:val="32"/>
          <w:lang w:val="en-US" w:eastAsia="zh-CN"/>
        </w:rPr>
        <w:t>安排预算稳定调节基金209.4万元，</w:t>
      </w:r>
      <w:r>
        <w:rPr>
          <w:rFonts w:hint="eastAsia"/>
          <w:sz w:val="32"/>
          <w:szCs w:val="32"/>
        </w:rPr>
        <w:t>年终结余结转</w:t>
      </w:r>
      <w:r>
        <w:rPr>
          <w:rFonts w:hint="eastAsia"/>
          <w:sz w:val="32"/>
          <w:szCs w:val="32"/>
          <w:lang w:val="en-US" w:eastAsia="zh-CN"/>
        </w:rPr>
        <w:t>436</w:t>
      </w:r>
      <w:r>
        <w:rPr>
          <w:rFonts w:hint="eastAsia"/>
          <w:sz w:val="32"/>
          <w:szCs w:val="32"/>
        </w:rPr>
        <w:t>万元。</w:t>
      </w:r>
    </w:p>
    <w:p w14:paraId="609B86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回顾202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年我</w:t>
      </w:r>
      <w:r>
        <w:rPr>
          <w:rFonts w:hint="eastAsia"/>
          <w:sz w:val="32"/>
          <w:szCs w:val="32"/>
          <w:lang w:val="en-US" w:eastAsia="zh-CN"/>
        </w:rPr>
        <w:t>乡</w:t>
      </w:r>
      <w:r>
        <w:rPr>
          <w:rFonts w:hint="eastAsia"/>
          <w:sz w:val="32"/>
          <w:szCs w:val="32"/>
        </w:rPr>
        <w:t>财政工作，我们主要做了以下几个方面的工作</w:t>
      </w:r>
      <w:r>
        <w:rPr>
          <w:rFonts w:hint="eastAsia"/>
          <w:sz w:val="32"/>
          <w:szCs w:val="32"/>
          <w:lang w:eastAsia="zh-CN"/>
        </w:rPr>
        <w:t>：</w:t>
      </w:r>
    </w:p>
    <w:p w14:paraId="3132740A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/>
          <w:b w:val="0"/>
          <w:bCs w:val="0"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大力组织收入，培育新的税源点。</w:t>
      </w:r>
      <w:r>
        <w:rPr>
          <w:rFonts w:hint="eastAsia"/>
          <w:b w:val="0"/>
          <w:bCs w:val="0"/>
          <w:color w:val="auto"/>
          <w:sz w:val="32"/>
          <w:szCs w:val="32"/>
        </w:rPr>
        <w:t>2024年我们始终把组织收入作为核心工作来抓，在巩固重点税源的基础上，努力挖掘增收潜力，与税务部门定期会商，做到应收尽收；同时加大扶持新的企业发展，激发企业活力，培育新的税收增长点。</w:t>
      </w:r>
    </w:p>
    <w:p w14:paraId="6BD5179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default" w:eastAsia="仿宋_GB2312"/>
          <w:color w:val="auto"/>
          <w:sz w:val="32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32"/>
          <w:szCs w:val="32"/>
        </w:rPr>
        <w:t>（二）坚持惠及民生，村居环境进一步改善。</w:t>
      </w:r>
      <w:r>
        <w:rPr>
          <w:rFonts w:hint="eastAsia"/>
          <w:color w:val="auto"/>
          <w:sz w:val="32"/>
          <w:szCs w:val="32"/>
          <w:lang w:val="en-US" w:eastAsia="zh-CN"/>
        </w:rPr>
        <w:t>加快完善基础设施建设，提升群众幸福感。全年实施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农村公益事业建设项目共4个，总投资77.5万元；新生村委龚温村村庄环境提升改造项目投资150万元，东</w:t>
      </w:r>
      <w:r>
        <w:rPr>
          <w:rFonts w:hint="eastAsia"/>
          <w:b w:val="0"/>
          <w:bCs w:val="0"/>
          <w:i w:val="0"/>
          <w:iCs w:val="0"/>
          <w:color w:val="auto"/>
          <w:sz w:val="32"/>
          <w:szCs w:val="32"/>
          <w:u w:val="none"/>
          <w:lang w:val="en-US" w:eastAsia="zh-CN"/>
        </w:rPr>
        <w:t>洛村委高边、田家村村庄环境提升改造项目投资140万元；新农村建设点共7个，总投资170万元</w:t>
      </w:r>
      <w:r>
        <w:rPr>
          <w:rFonts w:hint="eastAsia"/>
          <w:color w:val="auto"/>
          <w:sz w:val="32"/>
          <w:szCs w:val="32"/>
          <w:lang w:val="en-US" w:eastAsia="zh-CN"/>
        </w:rPr>
        <w:t>，</w:t>
      </w:r>
      <w:r>
        <w:rPr>
          <w:rFonts w:hint="eastAsia"/>
          <w:color w:val="auto"/>
          <w:sz w:val="32"/>
          <w:szCs w:val="32"/>
        </w:rPr>
        <w:t>有</w:t>
      </w:r>
      <w:r>
        <w:rPr>
          <w:rFonts w:hint="eastAsia"/>
          <w:color w:val="auto"/>
          <w:sz w:val="32"/>
          <w:szCs w:val="32"/>
          <w:lang w:val="en-US" w:eastAsia="zh-CN"/>
        </w:rPr>
        <w:t>效</w:t>
      </w:r>
      <w:r>
        <w:rPr>
          <w:rFonts w:hint="eastAsia"/>
          <w:color w:val="auto"/>
          <w:sz w:val="32"/>
          <w:szCs w:val="32"/>
        </w:rPr>
        <w:t>改善了人民群众生产生活条件。</w:t>
      </w:r>
    </w:p>
    <w:p w14:paraId="7AB245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eastAsia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/>
          <w:b/>
          <w:bCs/>
          <w:color w:val="auto"/>
          <w:sz w:val="32"/>
          <w:szCs w:val="32"/>
        </w:rPr>
        <w:t>（三）规范资金使用，提升财政绩效管理效能。</w:t>
      </w:r>
      <w:r>
        <w:rPr>
          <w:rFonts w:hint="eastAsia" w:cs="Times New Roman"/>
          <w:b w:val="0"/>
          <w:bCs w:val="0"/>
          <w:color w:val="auto"/>
          <w:sz w:val="32"/>
          <w:szCs w:val="32"/>
        </w:rPr>
        <w:t>坚持“</w:t>
      </w:r>
      <w:r>
        <w:rPr>
          <w:rFonts w:hint="eastAsia" w:cs="Times New Roman"/>
          <w:b w:val="0"/>
          <w:bCs w:val="0"/>
          <w:color w:val="auto"/>
          <w:sz w:val="32"/>
          <w:szCs w:val="32"/>
          <w:lang w:eastAsia="zh-CN"/>
        </w:rPr>
        <w:t>尽力而为、量力而行</w:t>
      </w:r>
      <w:r>
        <w:rPr>
          <w:rFonts w:hint="eastAsia" w:cs="Times New Roman"/>
          <w:b w:val="0"/>
          <w:bCs w:val="0"/>
          <w:color w:val="auto"/>
          <w:sz w:val="32"/>
          <w:szCs w:val="32"/>
        </w:rPr>
        <w:t>”原则，严格预算执</w:t>
      </w:r>
      <w:r>
        <w:rPr>
          <w:rFonts w:hint="eastAsia" w:cs="Times New Roman"/>
          <w:b w:val="0"/>
          <w:bCs w:val="0"/>
          <w:color w:val="auto"/>
          <w:sz w:val="32"/>
          <w:szCs w:val="32"/>
          <w:lang w:eastAsia="zh-CN"/>
        </w:rPr>
        <w:t>行。切实兜牢“三保”底线，确保“保基本民生、保工资、保运转”足额列入预算，坚持“三保”支出在财政支出中的优先顺序。通过规范财政资金使用和审核，最大限度地节约资金。</w:t>
      </w:r>
      <w:r>
        <w:rPr>
          <w:rFonts w:hint="eastAsia" w:cs="Times New Roman"/>
          <w:b w:val="0"/>
          <w:bCs w:val="0"/>
          <w:color w:val="auto"/>
          <w:sz w:val="32"/>
          <w:szCs w:val="32"/>
        </w:rPr>
        <w:t>按照过紧日子要求，努力压减</w:t>
      </w:r>
      <w:r>
        <w:rPr>
          <w:rFonts w:hint="eastAsia"/>
          <w:b w:val="0"/>
          <w:bCs w:val="0"/>
          <w:color w:val="auto"/>
          <w:sz w:val="32"/>
          <w:szCs w:val="32"/>
        </w:rPr>
        <w:t>“三公”经费等公务支出，有效提高财政资金使用效益</w:t>
      </w:r>
      <w:r>
        <w:rPr>
          <w:rFonts w:hint="eastAsia"/>
          <w:b w:val="0"/>
          <w:bCs w:val="0"/>
          <w:color w:val="auto"/>
          <w:sz w:val="32"/>
          <w:szCs w:val="32"/>
          <w:lang w:eastAsia="zh-CN"/>
        </w:rPr>
        <w:t>。</w:t>
      </w:r>
    </w:p>
    <w:p w14:paraId="4DFEBE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/>
          <w:b/>
          <w:bCs/>
          <w:color w:val="auto"/>
          <w:sz w:val="32"/>
          <w:szCs w:val="32"/>
        </w:rPr>
        <w:t>（四）</w:t>
      </w:r>
      <w:r>
        <w:rPr>
          <w:rFonts w:hint="eastAsia" w:cs="Times New Roman"/>
          <w:b/>
          <w:bCs/>
          <w:color w:val="auto"/>
          <w:sz w:val="32"/>
          <w:szCs w:val="32"/>
          <w:lang w:eastAsia="zh-CN"/>
        </w:rPr>
        <w:t>优化支出结构，确保财政收支平衡。</w:t>
      </w:r>
      <w:r>
        <w:rPr>
          <w:rFonts w:hint="eastAsia" w:cs="Times New Roman"/>
          <w:b w:val="0"/>
          <w:bCs w:val="0"/>
          <w:color w:val="auto"/>
          <w:sz w:val="32"/>
          <w:szCs w:val="32"/>
          <w:lang w:eastAsia="zh-CN"/>
        </w:rPr>
        <w:t>严格执行《中华人民共和国会计法》、新《中华人民共和国预算法》，按照其规定的内容和管理要求，规范财政支出行为，细化部门预算编制。严格执行财务规章制度，统一支出口径，严把审核关。</w:t>
      </w:r>
    </w:p>
    <w:p w14:paraId="73E336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cs="Times New Roman"/>
          <w:b w:val="0"/>
          <w:bCs w:val="0"/>
          <w:color w:val="auto"/>
          <w:sz w:val="32"/>
          <w:szCs w:val="32"/>
          <w:lang w:eastAsia="zh-CN"/>
        </w:rPr>
        <w:t>202</w:t>
      </w:r>
      <w:r>
        <w:rPr>
          <w:rFonts w:hint="eastAsia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cs="Times New Roman"/>
          <w:b w:val="0"/>
          <w:bCs w:val="0"/>
          <w:color w:val="auto"/>
          <w:sz w:val="32"/>
          <w:szCs w:val="32"/>
          <w:lang w:eastAsia="zh-CN"/>
        </w:rPr>
        <w:t>年我乡财政预算执行总体规范有序，运行态势良好，社会公共需求保障能力持续增强。</w:t>
      </w:r>
    </w:p>
    <w:p w14:paraId="61A93D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cs="Times New Roman"/>
          <w:b w:val="0"/>
          <w:bCs w:val="0"/>
          <w:color w:val="auto"/>
          <w:sz w:val="32"/>
          <w:szCs w:val="32"/>
          <w:lang w:eastAsia="zh-CN"/>
        </w:rPr>
        <w:t>各位代表：在看到成绩的同时，我们也清醒地认识到我乡财政工作目前面临的各类问题和困难：收入增长缓慢，收支矛盾突出，资金兑付压力大。这些问题要通过进一步深化财政改革，加快经济发展，完善制度，加强管理，逐步加以解决，也恳请各位代表一如既往给予指导和帮助。</w:t>
      </w:r>
    </w:p>
    <w:p w14:paraId="3040A8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二、202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年全乡财政预算</w:t>
      </w:r>
    </w:p>
    <w:p w14:paraId="3E6289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202</w:t>
      </w:r>
      <w:r>
        <w:rPr>
          <w:rFonts w:hint="eastAsia"/>
          <w:color w:val="auto"/>
          <w:sz w:val="32"/>
          <w:szCs w:val="32"/>
          <w:lang w:val="en-US" w:eastAsia="zh-CN"/>
        </w:rPr>
        <w:t>5</w:t>
      </w:r>
      <w:r>
        <w:rPr>
          <w:rFonts w:hint="eastAsia"/>
          <w:color w:val="auto"/>
          <w:sz w:val="32"/>
          <w:szCs w:val="32"/>
        </w:rPr>
        <w:t>年全乡财政工作的总体要求是：以习近平新时代中国特色社会主义思想为指导，全面贯彻执行各级经济工作会议精神，认真落实中央、省、市、区关于过紧日子的决策部署，进一步提高经济发展质量和效益；着力优化支出结构，进一步保障民生。充分发挥财政职能，促进经济平稳较快发展；夯实财源基础，做大财政总量，壮大财政综合实力；坚持依法理财，科学理财，努力提高资金使用效益，助推全乡财政事业实现新跨越。</w:t>
      </w:r>
    </w:p>
    <w:p w14:paraId="6AE239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根据上述总体要求</w:t>
      </w:r>
      <w:r>
        <w:rPr>
          <w:rFonts w:hint="eastAsia" w:hAnsi="仿宋_GB2312" w:cs="仿宋_GB2312"/>
          <w:color w:val="auto"/>
          <w:sz w:val="32"/>
          <w:szCs w:val="32"/>
          <w:lang w:bidi="ar"/>
        </w:rPr>
        <w:t>，按照</w:t>
      </w:r>
      <w:r>
        <w:rPr>
          <w:rFonts w:hint="eastAsia" w:hAnsi="仿宋_GB2312" w:cs="仿宋_GB2312"/>
          <w:color w:val="auto"/>
          <w:sz w:val="32"/>
          <w:szCs w:val="32"/>
          <w:lang w:val="en-US" w:eastAsia="zh-CN" w:bidi="ar"/>
        </w:rPr>
        <w:t>乡</w:t>
      </w:r>
      <w:r>
        <w:rPr>
          <w:rFonts w:hint="eastAsia" w:hAnsi="仿宋_GB2312" w:cs="仿宋_GB2312"/>
          <w:color w:val="auto"/>
          <w:sz w:val="32"/>
          <w:szCs w:val="32"/>
          <w:lang w:bidi="ar"/>
        </w:rPr>
        <w:t>党委、政府的总体部署和预算编制要求，坚持</w:t>
      </w:r>
      <w:r>
        <w:rPr>
          <w:rFonts w:hint="eastAsia" w:hAnsi="仿宋_GB2312" w:cs="仿宋_GB2312"/>
          <w:color w:val="auto"/>
          <w:sz w:val="32"/>
          <w:szCs w:val="32"/>
          <w:lang w:eastAsia="zh-CN" w:bidi="ar"/>
        </w:rPr>
        <w:t>“六稳”、“六保”</w:t>
      </w:r>
      <w:r>
        <w:rPr>
          <w:rFonts w:hint="eastAsia" w:hAnsi="仿宋_GB2312" w:cs="仿宋_GB2312"/>
          <w:color w:val="auto"/>
          <w:sz w:val="32"/>
          <w:szCs w:val="32"/>
          <w:lang w:bidi="ar"/>
        </w:rPr>
        <w:t>原则，按照“积极稳妥、统筹兼顾、勤俭节约、量力而行、强化绩效”的原则编制了202</w:t>
      </w:r>
      <w:r>
        <w:rPr>
          <w:rFonts w:hint="eastAsia" w:hAnsi="仿宋_GB2312" w:cs="仿宋_GB2312"/>
          <w:color w:val="auto"/>
          <w:sz w:val="32"/>
          <w:szCs w:val="32"/>
          <w:lang w:val="en-US" w:eastAsia="zh-CN" w:bidi="ar"/>
        </w:rPr>
        <w:t>5</w:t>
      </w:r>
      <w:r>
        <w:rPr>
          <w:rFonts w:hint="eastAsia" w:hAnsi="仿宋_GB2312" w:cs="仿宋_GB2312"/>
          <w:color w:val="auto"/>
          <w:sz w:val="32"/>
          <w:szCs w:val="32"/>
          <w:lang w:bidi="ar"/>
        </w:rPr>
        <w:t>年预算草案</w:t>
      </w:r>
      <w:r>
        <w:rPr>
          <w:rFonts w:hint="eastAsia"/>
          <w:color w:val="auto"/>
          <w:sz w:val="32"/>
          <w:szCs w:val="32"/>
        </w:rPr>
        <w:t>。</w:t>
      </w:r>
    </w:p>
    <w:p w14:paraId="7638A3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202</w:t>
      </w:r>
      <w:r>
        <w:rPr>
          <w:rFonts w:hint="eastAsia"/>
          <w:color w:val="auto"/>
          <w:sz w:val="32"/>
          <w:szCs w:val="32"/>
          <w:lang w:val="en-US" w:eastAsia="zh-CN"/>
        </w:rPr>
        <w:t>5</w:t>
      </w:r>
      <w:r>
        <w:rPr>
          <w:rFonts w:hint="eastAsia"/>
          <w:color w:val="auto"/>
          <w:sz w:val="32"/>
          <w:szCs w:val="32"/>
        </w:rPr>
        <w:t>年全乡地方财政收入预算安排</w:t>
      </w:r>
      <w:r>
        <w:rPr>
          <w:rFonts w:hint="eastAsia"/>
          <w:color w:val="auto"/>
          <w:sz w:val="32"/>
          <w:szCs w:val="32"/>
          <w:lang w:val="en-US" w:eastAsia="zh-CN"/>
        </w:rPr>
        <w:t>3017</w:t>
      </w:r>
      <w:r>
        <w:rPr>
          <w:rFonts w:hint="eastAsia"/>
          <w:color w:val="auto"/>
          <w:sz w:val="32"/>
          <w:szCs w:val="32"/>
        </w:rPr>
        <w:t>万元，安排一般预算支出</w:t>
      </w:r>
      <w:r>
        <w:rPr>
          <w:rFonts w:hint="eastAsia"/>
          <w:color w:val="auto"/>
          <w:sz w:val="32"/>
          <w:szCs w:val="32"/>
          <w:lang w:val="en-US" w:eastAsia="zh-CN"/>
        </w:rPr>
        <w:t>3017</w:t>
      </w:r>
      <w:r>
        <w:rPr>
          <w:rFonts w:hint="eastAsia"/>
          <w:color w:val="auto"/>
          <w:sz w:val="32"/>
          <w:szCs w:val="32"/>
        </w:rPr>
        <w:t>万元。主要支出项目是：</w:t>
      </w:r>
    </w:p>
    <w:p w14:paraId="5A234C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（1）一般公共服务</w:t>
      </w:r>
      <w:r>
        <w:rPr>
          <w:rFonts w:hint="eastAsia"/>
          <w:color w:val="auto"/>
          <w:sz w:val="32"/>
          <w:szCs w:val="32"/>
          <w:lang w:val="en-US" w:eastAsia="zh-CN"/>
        </w:rPr>
        <w:t>890.06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</w:rPr>
        <w:t>其中</w:t>
      </w:r>
      <w:r>
        <w:rPr>
          <w:rFonts w:hint="eastAsia"/>
          <w:color w:val="auto"/>
          <w:sz w:val="32"/>
          <w:szCs w:val="32"/>
          <w:lang w:eastAsia="zh-CN"/>
        </w:rPr>
        <w:t>：</w:t>
      </w:r>
      <w:r>
        <w:rPr>
          <w:rFonts w:hint="eastAsia"/>
          <w:color w:val="auto"/>
          <w:sz w:val="32"/>
          <w:szCs w:val="32"/>
        </w:rPr>
        <w:t>行政运行</w:t>
      </w:r>
      <w:r>
        <w:rPr>
          <w:rFonts w:hint="eastAsia"/>
          <w:color w:val="auto"/>
          <w:sz w:val="32"/>
          <w:szCs w:val="32"/>
          <w:lang w:val="en-US" w:eastAsia="zh-CN"/>
        </w:rPr>
        <w:t>615.06</w:t>
      </w:r>
      <w:r>
        <w:rPr>
          <w:rFonts w:hint="eastAsia"/>
          <w:color w:val="auto"/>
          <w:sz w:val="32"/>
          <w:szCs w:val="32"/>
        </w:rPr>
        <w:t>万元，政府办公室及相关机构事务27</w:t>
      </w:r>
      <w:r>
        <w:rPr>
          <w:rFonts w:hint="eastAsia"/>
          <w:color w:val="auto"/>
          <w:sz w:val="32"/>
          <w:szCs w:val="32"/>
          <w:lang w:val="en-US" w:eastAsia="zh-CN"/>
        </w:rPr>
        <w:t>5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）</w:t>
      </w:r>
    </w:p>
    <w:p w14:paraId="3CE4C9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（</w:t>
      </w:r>
      <w:r>
        <w:rPr>
          <w:rFonts w:hint="eastAsia"/>
          <w:color w:val="auto"/>
          <w:sz w:val="32"/>
          <w:szCs w:val="32"/>
          <w:lang w:val="en-US" w:eastAsia="zh-CN"/>
        </w:rPr>
        <w:t>2</w:t>
      </w:r>
      <w:r>
        <w:rPr>
          <w:rFonts w:hint="eastAsia"/>
          <w:color w:val="auto"/>
          <w:sz w:val="32"/>
          <w:szCs w:val="32"/>
        </w:rPr>
        <w:t>）社会保障和就业支出</w:t>
      </w:r>
      <w:r>
        <w:rPr>
          <w:rFonts w:hint="eastAsia"/>
          <w:color w:val="auto"/>
          <w:sz w:val="32"/>
          <w:szCs w:val="32"/>
          <w:lang w:val="en-US" w:eastAsia="zh-CN"/>
        </w:rPr>
        <w:t>220.52</w:t>
      </w:r>
      <w:r>
        <w:rPr>
          <w:rFonts w:hint="eastAsia"/>
          <w:color w:val="auto"/>
          <w:sz w:val="32"/>
          <w:szCs w:val="32"/>
        </w:rPr>
        <w:t>万元</w:t>
      </w:r>
      <w:r>
        <w:rPr>
          <w:rFonts w:hint="eastAsia"/>
          <w:color w:val="auto"/>
          <w:sz w:val="32"/>
          <w:szCs w:val="32"/>
          <w:lang w:eastAsia="zh-CN"/>
        </w:rPr>
        <w:t>（</w:t>
      </w:r>
      <w:r>
        <w:rPr>
          <w:rFonts w:hint="eastAsia"/>
          <w:color w:val="auto"/>
          <w:sz w:val="32"/>
          <w:szCs w:val="32"/>
        </w:rPr>
        <w:t>其中</w:t>
      </w:r>
      <w:r>
        <w:rPr>
          <w:rFonts w:hint="eastAsia"/>
          <w:color w:val="auto"/>
          <w:sz w:val="32"/>
          <w:szCs w:val="32"/>
          <w:lang w:eastAsia="zh-CN"/>
        </w:rPr>
        <w:t>：</w:t>
      </w:r>
      <w:r>
        <w:rPr>
          <w:rFonts w:hint="eastAsia"/>
          <w:color w:val="auto"/>
          <w:sz w:val="32"/>
          <w:szCs w:val="32"/>
        </w:rPr>
        <w:t>单位离退休</w:t>
      </w:r>
      <w:r>
        <w:rPr>
          <w:rFonts w:hint="eastAsia"/>
          <w:color w:val="auto"/>
          <w:sz w:val="32"/>
          <w:szCs w:val="32"/>
          <w:lang w:val="en-US" w:eastAsia="zh-CN"/>
        </w:rPr>
        <w:t>63.52</w:t>
      </w:r>
      <w:r>
        <w:rPr>
          <w:rFonts w:hint="eastAsia"/>
          <w:color w:val="auto"/>
          <w:sz w:val="32"/>
          <w:szCs w:val="32"/>
        </w:rPr>
        <w:t>万元；机关事业单位基本养老保险缴费支出</w:t>
      </w:r>
      <w:r>
        <w:rPr>
          <w:rFonts w:hint="eastAsia"/>
          <w:color w:val="auto"/>
          <w:sz w:val="32"/>
          <w:szCs w:val="32"/>
          <w:lang w:val="en-US" w:eastAsia="zh-CN"/>
        </w:rPr>
        <w:t>105</w:t>
      </w:r>
      <w:r>
        <w:rPr>
          <w:rFonts w:hint="eastAsia"/>
          <w:color w:val="auto"/>
          <w:sz w:val="32"/>
          <w:szCs w:val="32"/>
        </w:rPr>
        <w:t>万元；机关事业单位职业年金缴费支出</w:t>
      </w:r>
      <w:r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万元</w:t>
      </w:r>
      <w:r>
        <w:rPr>
          <w:rFonts w:hint="eastAsia"/>
          <w:sz w:val="32"/>
          <w:szCs w:val="32"/>
          <w:lang w:eastAsia="zh-CN"/>
        </w:rPr>
        <w:t>）</w:t>
      </w:r>
    </w:p>
    <w:p w14:paraId="360BF8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）卫生健康支出1</w:t>
      </w:r>
      <w:r>
        <w:rPr>
          <w:rFonts w:hint="eastAsia"/>
          <w:sz w:val="32"/>
          <w:szCs w:val="32"/>
          <w:lang w:val="en-US" w:eastAsia="zh-CN"/>
        </w:rPr>
        <w:t>3.7</w:t>
      </w:r>
      <w:r>
        <w:rPr>
          <w:rFonts w:hint="eastAsia"/>
          <w:sz w:val="32"/>
          <w:szCs w:val="32"/>
        </w:rPr>
        <w:t>万元</w:t>
      </w:r>
    </w:p>
    <w:p w14:paraId="1EC522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）城乡社区支出</w:t>
      </w:r>
      <w:r>
        <w:rPr>
          <w:rFonts w:hint="eastAsia"/>
          <w:sz w:val="32"/>
          <w:szCs w:val="32"/>
          <w:lang w:val="en-US" w:eastAsia="zh-CN"/>
        </w:rPr>
        <w:t>60</w:t>
      </w:r>
      <w:r>
        <w:rPr>
          <w:rFonts w:hint="eastAsia"/>
          <w:sz w:val="32"/>
          <w:szCs w:val="32"/>
        </w:rPr>
        <w:t>万元</w:t>
      </w:r>
    </w:p>
    <w:p w14:paraId="3D3A65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）农林水支出</w:t>
      </w:r>
      <w:r>
        <w:rPr>
          <w:rFonts w:hint="eastAsia"/>
          <w:sz w:val="32"/>
          <w:szCs w:val="32"/>
          <w:lang w:val="en-US" w:eastAsia="zh-CN"/>
        </w:rPr>
        <w:t>593.7</w:t>
      </w:r>
      <w:r>
        <w:rPr>
          <w:rFonts w:hint="eastAsia"/>
          <w:sz w:val="32"/>
          <w:szCs w:val="32"/>
        </w:rPr>
        <w:t>元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</w:rPr>
        <w:t>其中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农业农村</w:t>
      </w:r>
      <w:r>
        <w:rPr>
          <w:rFonts w:hint="eastAsia"/>
          <w:sz w:val="32"/>
          <w:szCs w:val="32"/>
          <w:lang w:val="en-US" w:eastAsia="zh-CN"/>
        </w:rPr>
        <w:t>493.7</w:t>
      </w:r>
      <w:r>
        <w:rPr>
          <w:rFonts w:hint="eastAsia"/>
          <w:sz w:val="32"/>
          <w:szCs w:val="32"/>
        </w:rPr>
        <w:t>万元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对村民委员会和村党支部的补助</w:t>
      </w:r>
      <w:r>
        <w:rPr>
          <w:rFonts w:hint="eastAsia"/>
          <w:sz w:val="32"/>
          <w:szCs w:val="32"/>
          <w:lang w:val="en-US" w:eastAsia="zh-CN"/>
        </w:rPr>
        <w:t>100</w:t>
      </w:r>
      <w:r>
        <w:rPr>
          <w:rFonts w:hint="eastAsia"/>
          <w:sz w:val="32"/>
          <w:szCs w:val="32"/>
        </w:rPr>
        <w:t>万元</w:t>
      </w:r>
      <w:r>
        <w:rPr>
          <w:rFonts w:hint="eastAsia"/>
          <w:sz w:val="32"/>
          <w:szCs w:val="32"/>
          <w:lang w:eastAsia="zh-CN"/>
        </w:rPr>
        <w:t>）</w:t>
      </w:r>
    </w:p>
    <w:p w14:paraId="11FDEE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）资源勘探信息等支出11</w:t>
      </w:r>
      <w:r>
        <w:rPr>
          <w:rFonts w:hint="eastAsia"/>
          <w:sz w:val="32"/>
          <w:szCs w:val="32"/>
          <w:lang w:val="en-US" w:eastAsia="zh-CN"/>
        </w:rPr>
        <w:t>27.02</w:t>
      </w:r>
      <w:r>
        <w:rPr>
          <w:rFonts w:hint="eastAsia"/>
          <w:sz w:val="32"/>
          <w:szCs w:val="32"/>
        </w:rPr>
        <w:t>万元</w:t>
      </w:r>
    </w:p>
    <w:p w14:paraId="449C43A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）住房保障支出11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/>
          <w:sz w:val="32"/>
          <w:szCs w:val="32"/>
        </w:rPr>
        <w:t>万元</w:t>
      </w:r>
    </w:p>
    <w:p w14:paraId="0685511D">
      <w:pPr>
        <w:pStyle w:val="2"/>
        <w:pageBreakBefore w:val="0"/>
        <w:numPr>
          <w:ilvl w:val="3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eastAsia="宋体"/>
          <w:b w:val="0"/>
          <w:bCs w:val="0"/>
          <w:u w:val="none" w:color="auto"/>
          <w:lang w:val="en-US" w:eastAsia="zh-CN"/>
        </w:rPr>
      </w:pPr>
      <w:r>
        <w:rPr>
          <w:rFonts w:hint="eastAsia" w:eastAsia="宋体"/>
          <w:b w:val="0"/>
          <w:bCs w:val="0"/>
          <w:u w:val="non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u w:val="none" w:color="auto"/>
          <w:lang w:val="en-US" w:eastAsia="zh-CN"/>
        </w:rPr>
        <w:t>（8）安全生产支出2万元</w:t>
      </w:r>
    </w:p>
    <w:p w14:paraId="20934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认清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形势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把握重点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，确保完成202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年预算任务</w:t>
      </w:r>
    </w:p>
    <w:p w14:paraId="34961D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年，我们将围绕</w:t>
      </w:r>
      <w:r>
        <w:rPr>
          <w:rFonts w:hint="eastAsia" w:ascii="仿宋" w:hAnsi="仿宋" w:eastAsia="仿宋"/>
          <w:sz w:val="32"/>
          <w:szCs w:val="32"/>
          <w:u w:val="none" w:color="auto"/>
          <w:lang w:val="en-US" w:eastAsia="zh-CN"/>
        </w:rPr>
        <w:t>乡</w:t>
      </w:r>
      <w:r>
        <w:rPr>
          <w:rFonts w:hint="eastAsia" w:ascii="仿宋" w:hAnsi="仿宋" w:eastAsia="仿宋"/>
          <w:sz w:val="32"/>
          <w:szCs w:val="32"/>
          <w:u w:val="none" w:color="auto"/>
        </w:rPr>
        <w:t>党委、政府</w:t>
      </w:r>
      <w:r>
        <w:rPr>
          <w:rFonts w:hint="eastAsia"/>
          <w:sz w:val="32"/>
          <w:szCs w:val="32"/>
        </w:rPr>
        <w:t>中心工作，认清形势，把握工作着力点，统筹做好财政工作，努力为全</w:t>
      </w:r>
      <w:r>
        <w:rPr>
          <w:rFonts w:hint="eastAsia"/>
          <w:sz w:val="32"/>
          <w:szCs w:val="32"/>
          <w:lang w:val="en-US" w:eastAsia="zh-CN"/>
        </w:rPr>
        <w:t>乡</w:t>
      </w:r>
      <w:r>
        <w:rPr>
          <w:rFonts w:hint="eastAsia"/>
          <w:sz w:val="32"/>
          <w:szCs w:val="32"/>
        </w:rPr>
        <w:t>经济社会又好又快发展提供财力支撑。为确保财政收支任务的圆满完成，202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年的财政工作要做好以下几个方面：</w:t>
      </w:r>
    </w:p>
    <w:p w14:paraId="6A914CD6"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/>
          <w:b w:val="0"/>
          <w:bCs w:val="0"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着力培植税源，夯实财政收入基础。</w:t>
      </w:r>
      <w:r>
        <w:rPr>
          <w:rFonts w:hint="eastAsia"/>
          <w:b w:val="0"/>
          <w:bCs w:val="0"/>
          <w:color w:val="auto"/>
          <w:sz w:val="32"/>
          <w:szCs w:val="32"/>
        </w:rPr>
        <w:t>紧盯全年收入目标，把组织收入作为财政工作当前最重要、最紧迫任务。强化部门协同共治，密切关注重点行业重点企业等重点税源的税收征管，及时发现征管漏洞和潜在税源，防止税源流失。努力培育新兴税源，进一步优化营商环境，巩固和扩大招商引资成果，通过政策扶持和优质服务，积极吸引企业落户，拓宽税源渠道。强化非税收入征管，盘活存量资产，加强财政存量资金清理盘活和闲置资产处置变现，提升财政保障能力。</w:t>
      </w:r>
    </w:p>
    <w:p w14:paraId="3154A451"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/>
          <w:b w:val="0"/>
          <w:bCs w:val="0"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坚持量收为出、精打细算。</w:t>
      </w:r>
      <w:r>
        <w:rPr>
          <w:rFonts w:hint="eastAsia"/>
          <w:b w:val="0"/>
          <w:bCs w:val="0"/>
          <w:color w:val="auto"/>
          <w:sz w:val="32"/>
          <w:szCs w:val="32"/>
        </w:rPr>
        <w:t>坚持以收定支、量入为出，合理编制收入预算，切实加大预算审核力度，坚决压减一般性支出，严控“三公”经费支出。同时，大力优化财政支出结构，严格落实“过紧日子”的要求，兜牢基层“三保”底线，将有限的财政资源更多地投向社会保障、</w:t>
      </w:r>
      <w:r>
        <w:rPr>
          <w:rFonts w:hint="eastAsia"/>
          <w:b w:val="0"/>
          <w:bCs w:val="0"/>
          <w:color w:val="auto"/>
          <w:sz w:val="32"/>
          <w:szCs w:val="32"/>
          <w:lang w:val="en-US" w:eastAsia="zh-CN"/>
        </w:rPr>
        <w:t>基础设施建设</w:t>
      </w:r>
      <w:r>
        <w:rPr>
          <w:rFonts w:hint="eastAsia"/>
          <w:b w:val="0"/>
          <w:bCs w:val="0"/>
          <w:color w:val="auto"/>
          <w:sz w:val="32"/>
          <w:szCs w:val="32"/>
        </w:rPr>
        <w:t>等关键领域和薄弱环节，切实保障和改善民生。</w:t>
      </w:r>
    </w:p>
    <w:p w14:paraId="266DB37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hint="eastAsia" w:cs="Times New Roman"/>
          <w:b w:val="0"/>
          <w:bCs w:val="0"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（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/>
          <w:b/>
          <w:bCs/>
          <w:color w:val="auto"/>
          <w:sz w:val="32"/>
          <w:szCs w:val="32"/>
        </w:rPr>
        <w:t>）</w:t>
      </w: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强化</w:t>
      </w:r>
      <w:r>
        <w:rPr>
          <w:rFonts w:hint="eastAsia"/>
          <w:b/>
          <w:bCs/>
          <w:color w:val="auto"/>
          <w:sz w:val="32"/>
          <w:szCs w:val="32"/>
        </w:rPr>
        <w:t>财政监督管理，严格监管操作流程。</w:t>
      </w:r>
      <w:r>
        <w:rPr>
          <w:rFonts w:hint="eastAsia" w:cs="Times New Roman"/>
          <w:b w:val="0"/>
          <w:bCs w:val="0"/>
          <w:color w:val="auto"/>
          <w:sz w:val="32"/>
          <w:szCs w:val="32"/>
        </w:rPr>
        <w:t>细化内控制度，充分发挥财政监督职能作用，在“严监督、促规范”上下功夫，提高财政资金安全性和效能性。利用开展财政基础管理工作专项整治行动契机，进一步加强财政科学管理，及时排查风险隐患、堵塞管理漏洞、夯实财政运行基础。确保财政管理工作的长治久安，为财政资金安全运行提供坚实保障。</w:t>
      </w:r>
    </w:p>
    <w:p w14:paraId="0DCEF8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各位代表、同志们：</w:t>
      </w:r>
    </w:p>
    <w:p w14:paraId="521BABA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仿宋" w:hAnsi="仿宋" w:eastAsia="仿宋"/>
          <w:color w:val="0000FF"/>
          <w:sz w:val="32"/>
          <w:szCs w:val="32"/>
          <w:u w:val="single"/>
        </w:rPr>
      </w:pPr>
      <w:r>
        <w:rPr>
          <w:rFonts w:hint="eastAsia" w:ascii="仿宋_GB2312" w:hAnsi="Calibri" w:eastAsia="仿宋_GB2312" w:cs="Times New Roman"/>
          <w:b w:val="0"/>
          <w:bCs w:val="0"/>
          <w:color w:val="auto"/>
          <w:kern w:val="0"/>
          <w:sz w:val="32"/>
          <w:szCs w:val="32"/>
          <w:u w:val="none" w:color="000000"/>
          <w:lang w:val="en-US" w:eastAsia="zh-CN" w:bidi="ar-SA"/>
        </w:rPr>
        <w:t>  2025年是“十四五”规划收官之年，也是“十五五”规划谋篇布局之年，做好2025年财政工作，任务艰巨，使命光荣，我们将在乡党委、政府的坚强领导下，在乡人大的依法监督和指导下，奋力拼搏、勇毅前行，努力完成全年各项目标任务，为促进全乡经济社会和谐发展作出新的更大贡献！</w:t>
      </w:r>
    </w:p>
    <w:p w14:paraId="20F18A0A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4D8B7A5F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0C17C086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46D993D7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605C2C2E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140ED248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791C5E64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6A7A345A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04D7E84D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4B0E3DC4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173B7482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30DBD6E6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45D8A244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2CC7D5E2">
      <w:pPr>
        <w:spacing w:line="480" w:lineRule="exact"/>
        <w:rPr>
          <w:rFonts w:hint="eastAsia" w:ascii="仿宋" w:hAnsi="仿宋" w:eastAsia="仿宋"/>
          <w:color w:val="000000"/>
          <w:u w:val="single"/>
        </w:rPr>
      </w:pPr>
    </w:p>
    <w:p w14:paraId="145EA4E3">
      <w:pPr>
        <w:spacing w:line="480" w:lineRule="exact"/>
        <w:rPr>
          <w:rFonts w:hint="eastAsia" w:ascii="仿宋" w:hAnsi="仿宋" w:eastAsia="仿宋"/>
          <w:b w:val="0"/>
          <w:bCs w:val="0"/>
          <w:color w:val="000000"/>
          <w:u w:val="single"/>
        </w:rPr>
      </w:pPr>
    </w:p>
    <w:p w14:paraId="44B5B425">
      <w:pPr>
        <w:spacing w:line="480" w:lineRule="exact"/>
        <w:rPr>
          <w:rFonts w:hint="eastAsia" w:ascii="仿宋" w:hAnsi="仿宋" w:eastAsia="仿宋"/>
          <w:b w:val="0"/>
          <w:bCs w:val="0"/>
          <w:color w:val="000000"/>
          <w:u w:val="single"/>
        </w:rPr>
      </w:pPr>
    </w:p>
    <w:p w14:paraId="363DD414">
      <w:pPr>
        <w:spacing w:line="480" w:lineRule="exact"/>
        <w:rPr>
          <w:rFonts w:hint="eastAsia" w:ascii="仿宋" w:hAnsi="仿宋" w:eastAsia="仿宋"/>
          <w:b w:val="0"/>
          <w:bCs w:val="0"/>
          <w:color w:val="000000"/>
          <w:u w:val="single"/>
        </w:rPr>
      </w:pPr>
    </w:p>
    <w:p w14:paraId="74D51F71">
      <w:pPr>
        <w:spacing w:line="480" w:lineRule="exact"/>
        <w:rPr>
          <w:rFonts w:hint="eastAsia" w:ascii="仿宋" w:hAnsi="仿宋" w:eastAsia="仿宋"/>
          <w:b w:val="0"/>
          <w:bCs w:val="0"/>
          <w:color w:val="000000"/>
          <w:u w:val="single"/>
        </w:rPr>
      </w:pPr>
    </w:p>
    <w:p w14:paraId="01C3A612">
      <w:pPr>
        <w:spacing w:line="480" w:lineRule="exact"/>
        <w:rPr>
          <w:rFonts w:hint="eastAsia" w:ascii="仿宋" w:hAnsi="仿宋" w:eastAsia="仿宋"/>
          <w:b w:val="0"/>
          <w:bCs w:val="0"/>
          <w:color w:val="000000"/>
          <w:u w:val="single"/>
        </w:rPr>
      </w:pPr>
    </w:p>
    <w:p w14:paraId="1530A87A">
      <w:pPr>
        <w:spacing w:line="480" w:lineRule="exact"/>
      </w:pPr>
    </w:p>
    <w:sectPr>
      <w:pgSz w:w="11906" w:h="16838"/>
      <w:pgMar w:top="14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0318DA"/>
    <w:multiLevelType w:val="singleLevel"/>
    <w:tmpl w:val="930318DA"/>
    <w:lvl w:ilvl="0" w:tentative="0">
      <w:start w:val="1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suff w:val="space"/>
      <w:lvlText w:val=""/>
      <w:lvlJc w:val="center"/>
      <w:pPr>
        <w:ind w:left="0" w:firstLine="288"/>
      </w:pPr>
    </w:lvl>
    <w:lvl w:ilvl="1" w:tentative="0">
      <w:start w:val="1"/>
      <w:numFmt w:val="chineseCountingThousand"/>
      <w:suff w:val="space"/>
      <w:lvlText w:val="第%1章"/>
      <w:lvlJc w:val="center"/>
      <w:pPr>
        <w:ind w:left="0" w:firstLine="288"/>
      </w:pPr>
      <w:rPr>
        <w:rFonts w:eastAsia="黑体"/>
        <w:sz w:val="32"/>
      </w:rPr>
    </w:lvl>
    <w:lvl w:ilvl="2" w:tentative="0">
      <w:start w:val="1"/>
      <w:numFmt w:val="chineseCountingThousand"/>
      <w:suff w:val="space"/>
      <w:lvlText w:val="第%1节"/>
      <w:lvlJc w:val="center"/>
      <w:pPr>
        <w:ind w:left="-146" w:firstLine="288"/>
      </w:pPr>
    </w:lvl>
    <w:lvl w:ilvl="3" w:tentative="0">
      <w:start w:val="1"/>
      <w:numFmt w:val="chineseCountingThousand"/>
      <w:pStyle w:val="2"/>
      <w:suff w:val="nothing"/>
      <w:lvlText w:val="%1、"/>
      <w:lvlJc w:val="left"/>
      <w:pPr>
        <w:ind w:left="2272" w:hanging="1988"/>
      </w:pPr>
      <w:rPr>
        <w:rFonts w:ascii="Times New Roman" w:hAnsi="Times New Roman"/>
        <w:b w:val="0"/>
        <w:i w:val="0"/>
        <w:iCs w:val="0"/>
        <w:caps w:val="0"/>
        <w:smallCaps w:val="0"/>
        <w:kern w:val="0"/>
        <w:position w:val="0"/>
        <w:lang w:val="en-US"/>
      </w:rPr>
    </w:lvl>
    <w:lvl w:ilvl="4" w:tentative="0">
      <w:start w:val="1"/>
      <w:numFmt w:val="decimal"/>
      <w:suff w:val="nothing"/>
      <w:lvlText w:val="%1、"/>
      <w:lvlJc w:val="left"/>
      <w:pPr>
        <w:ind w:left="57" w:firstLine="510"/>
      </w:pPr>
      <w:rPr>
        <w:rFonts w:ascii="Times New Roman" w:hAnsi="Times New Roman"/>
        <w:b w:val="0"/>
        <w:i w:val="0"/>
        <w:iCs w:val="0"/>
        <w:caps w:val="0"/>
        <w:smallCaps w:val="0"/>
        <w:kern w:val="0"/>
        <w:position w:val="0"/>
      </w:rPr>
    </w:lvl>
    <w:lvl w:ilvl="5" w:tentative="0">
      <w:start w:val="1"/>
      <w:numFmt w:val="decimal"/>
      <w:suff w:val="nothing"/>
      <w:lvlText w:val="%1）"/>
      <w:lvlJc w:val="left"/>
      <w:pPr>
        <w:ind w:left="199" w:firstLine="510"/>
      </w:pPr>
    </w:lvl>
    <w:lvl w:ilvl="6" w:tentative="0">
      <w:start w:val="1"/>
      <w:numFmt w:val="decimal"/>
      <w:suff w:val="nothing"/>
      <w:lvlText w:val=""/>
      <w:lvlJc w:val="left"/>
      <w:pPr>
        <w:ind w:left="0" w:firstLine="0"/>
      </w:pPr>
    </w:lvl>
    <w:lvl w:ilvl="7" w:tentative="0">
      <w:start w:val="1"/>
      <w:numFmt w:val="decimal"/>
      <w:suff w:val="nothing"/>
      <w:lvlText w:val=""/>
      <w:lvlJc w:val="left"/>
      <w:pPr>
        <w:ind w:left="0" w:firstLine="0"/>
      </w:pPr>
    </w:lvl>
    <w:lvl w:ilvl="8" w:tentative="0">
      <w:start w:val="1"/>
      <w:numFmt w:val="decimal"/>
      <w:suff w:val="nothing"/>
      <w:lvlText w:val=""/>
      <w:lvlJc w:val="left"/>
      <w:pPr>
        <w:ind w:left="0" w:firstLine="0"/>
      </w:pPr>
    </w:lvl>
  </w:abstractNum>
  <w:abstractNum w:abstractNumId="2">
    <w:nsid w:val="69468E37"/>
    <w:multiLevelType w:val="singleLevel"/>
    <w:tmpl w:val="69468E3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color w:val="000000"/>
      <w:sz w:val="32"/>
      <w:szCs w:val="32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4"/>
    <w:basedOn w:val="1"/>
    <w:next w:val="1"/>
    <w:qFormat/>
    <w:uiPriority w:val="0"/>
    <w:pPr>
      <w:keepNext/>
      <w:keepLines/>
      <w:numPr>
        <w:ilvl w:val="3"/>
        <w:numId w:val="1"/>
      </w:numPr>
      <w:ind w:firstLine="0"/>
      <w:textAlignment w:val="baseline"/>
    </w:pPr>
    <w:rPr>
      <w:rFonts w:ascii="Arial" w:hAnsi="Arial" w:eastAsia="Times New Roman" w:cs="??_GB2312"/>
      <w:b/>
      <w:bCs/>
      <w:szCs w:val="28"/>
      <w:u w:val="single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3119</Words>
  <Characters>3431</Characters>
  <Lines>0</Lines>
  <Paragraphs>0</Paragraphs>
  <TotalTime>0</TotalTime>
  <ScaleCrop>false</ScaleCrop>
  <LinksUpToDate>false</LinksUpToDate>
  <CharactersWithSpaces>3579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2024-02-25T14:52:00Z</dcterms:created>
  <dc:creator>TuDou</dc:creator>
  <cp:lastModifiedBy>iPhone</cp:lastModifiedBy>
  <dcterms:modified xsi:type="dcterms:W3CDTF">2025-09-08T09:27:48Z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2052-12.24.0</vt:lpwstr>
  </property>
  <property fmtid="{D5CDD505-2E9C-101B-9397-08002B2CF9AE}" pid="3" name="ICV">
    <vt:lpwstr>ACC3B3FA2CC54D9A9E19639FED9354A9_13</vt:lpwstr>
  </property>
  <property fmtid="{D5CDD505-2E9C-101B-9397-08002B2CF9AE}" pid="4" name="KSOTemplateDocerSaveRecord">
    <vt:lpwstr>eyJoZGlkIjoiMmMyZjlmNTE1NWVlNmNhOGFmMjQyOWFlOTRmZGVjZWMiLCJ1c2VySWQiOiI1MjAwMTcyNDcifQ==</vt:lpwstr>
  </property>
</Properties>
</file>